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83E3" w14:textId="77777777" w:rsidR="008F3197" w:rsidRDefault="008F3197" w:rsidP="00164E1F">
      <w:pPr>
        <w:pStyle w:val="Heading1"/>
      </w:pPr>
      <w:bookmarkStart w:id="0" w:name="strategic-plan-20262029"/>
      <w:r>
        <w:t>Strategic Plan 2026–2029</w:t>
      </w:r>
      <w:r w:rsidR="00164E1F">
        <w:t xml:space="preserve"> </w:t>
      </w:r>
      <w:bookmarkStart w:id="1" w:name="innovation-equity-and-resilience"/>
    </w:p>
    <w:p w14:paraId="76531D30" w14:textId="2FA0BE2D" w:rsidR="005364AA" w:rsidRDefault="008F3197" w:rsidP="00164E1F">
      <w:pPr>
        <w:pStyle w:val="Heading1"/>
      </w:pPr>
      <w:r>
        <w:t>Innovation, Equity and Resilience</w:t>
      </w:r>
    </w:p>
    <w:p w14:paraId="6D93B4B8" w14:textId="77777777" w:rsidR="005364AA" w:rsidRDefault="008F3197">
      <w:pPr>
        <w:pStyle w:val="FirstParagraph"/>
      </w:pPr>
      <w:r>
        <w:rPr>
          <w:b/>
          <w:bCs/>
        </w:rPr>
        <w:t>Irish Association for Palliative Care</w:t>
      </w:r>
    </w:p>
    <w:p w14:paraId="5DF92A6F" w14:textId="77777777" w:rsidR="005364AA" w:rsidRDefault="007A5922">
      <w:r>
        <w:pict w14:anchorId="4FD2FCE4">
          <v:rect id="_x0000_i1025" style="width:0;height:1.5pt" o:hralign="center" o:hrstd="t" o:hr="t"/>
        </w:pict>
      </w:r>
    </w:p>
    <w:p w14:paraId="7ECF9FDD" w14:textId="4E8FD43C" w:rsidR="00811B29" w:rsidRPr="00A05FD7" w:rsidRDefault="006D3D60" w:rsidP="00A05FD7">
      <w:pPr>
        <w:pStyle w:val="Heading2"/>
      </w:pPr>
      <w:bookmarkStart w:id="2" w:name="subtitle-options-for-board-selection"/>
      <w:bookmarkEnd w:id="1"/>
      <w:r>
        <w:t xml:space="preserve">Strenghtening, </w:t>
      </w:r>
      <w:r w:rsidR="0090430B">
        <w:t>Collaboration &amp; Professional Practice</w:t>
      </w:r>
      <w:r w:rsidR="008F3197">
        <w:t>:</w:t>
      </w:r>
    </w:p>
    <w:p w14:paraId="7E34EEBF" w14:textId="7ED4AF0B" w:rsidR="00811B29" w:rsidRPr="00811B29" w:rsidRDefault="00811B29" w:rsidP="00811B29">
      <w:pPr>
        <w:rPr>
          <w:b/>
          <w:bCs/>
          <w:lang w:val="en-IE"/>
        </w:rPr>
      </w:pPr>
      <w:r w:rsidRPr="00811B29">
        <w:rPr>
          <w:b/>
          <w:bCs/>
          <w:lang w:val="en-IE"/>
        </w:rPr>
        <w:br/>
      </w:r>
      <w:r w:rsidRPr="00811B29">
        <w:rPr>
          <w:i/>
          <w:iCs/>
          <w:lang w:val="en-IE"/>
        </w:rPr>
        <w:t xml:space="preserve">Tagline: </w:t>
      </w:r>
      <w:r w:rsidR="00A05FD7" w:rsidRPr="00A05FD7">
        <w:rPr>
          <w:b/>
          <w:bCs/>
          <w:lang w:val="en-IE"/>
        </w:rPr>
        <w:t>Strengthening collaboration and professional practice in palliative care across Ireland</w:t>
      </w:r>
    </w:p>
    <w:p w14:paraId="36D91580" w14:textId="77777777" w:rsidR="005364AA" w:rsidRDefault="007A5922">
      <w:r>
        <w:pict w14:anchorId="6C3C8AAC">
          <v:rect id="_x0000_i1028" style="width:0;height:1.5pt" o:hralign="center" o:hrstd="t" o:hr="t"/>
        </w:pict>
      </w:r>
    </w:p>
    <w:p w14:paraId="411AB148" w14:textId="77777777" w:rsidR="005364AA" w:rsidRDefault="008F3197">
      <w:pPr>
        <w:pStyle w:val="Heading2"/>
      </w:pPr>
      <w:bookmarkStart w:id="3" w:name="executive-summary"/>
      <w:bookmarkEnd w:id="2"/>
      <w:r>
        <w:t>Executive Summary</w:t>
      </w:r>
    </w:p>
    <w:p w14:paraId="380FF292" w14:textId="6621C5BF" w:rsidR="005364AA" w:rsidRDefault="008F3197">
      <w:pPr>
        <w:pStyle w:val="FirstParagraph"/>
      </w:pPr>
      <w:r>
        <w:t>The Irish Association for Palliative Care (IAPC) enters the 2026–2029 period from a position of consolidation and momentum. With a newly appointed Chief Executive Officer and a strengthened governance foundation, we are well positioned to deliver sustainable growth in member engagement, advocacy influence and organisational resilience</w:t>
      </w:r>
      <w:r w:rsidR="005B4E5F">
        <w:t xml:space="preserve"> in an equitable </w:t>
      </w:r>
      <w:r w:rsidR="004A79F4">
        <w:t>manner</w:t>
      </w:r>
      <w:r>
        <w:t>.</w:t>
      </w:r>
    </w:p>
    <w:p w14:paraId="56D99597" w14:textId="77777777" w:rsidR="005364AA" w:rsidRDefault="008F3197">
      <w:pPr>
        <w:pStyle w:val="BodyText"/>
      </w:pPr>
      <w:r>
        <w:t>This strategic plan maintains our core mission whilst introducing targeted enhancements across our four strategic pillars. Mindful of our size—small staff team and volunteer governance—we adopt a phased, realistic approach that prioritises impact over activity.</w:t>
      </w:r>
    </w:p>
    <w:p w14:paraId="74E5002F" w14:textId="77777777" w:rsidR="004B1EED" w:rsidRDefault="008F3197">
      <w:pPr>
        <w:pStyle w:val="BodyText"/>
      </w:pPr>
      <w:r>
        <w:rPr>
          <w:b/>
          <w:bCs/>
        </w:rPr>
        <w:t>Our strategic priorities for 2026–2029 are:</w:t>
      </w:r>
      <w:r>
        <w:t xml:space="preserve"> </w:t>
      </w:r>
    </w:p>
    <w:p w14:paraId="3F8465F1" w14:textId="3EFC7424" w:rsidR="004B1EED" w:rsidRDefault="008F3197">
      <w:pPr>
        <w:pStyle w:val="BodyText"/>
      </w:pPr>
      <w:r>
        <w:t>- Deepen member value through</w:t>
      </w:r>
      <w:r w:rsidR="00FB680B">
        <w:t xml:space="preserve"> enhanced</w:t>
      </w:r>
      <w:r>
        <w:t xml:space="preserve"> learning, collaboration and support </w:t>
      </w:r>
    </w:p>
    <w:p w14:paraId="3A41A86C" w14:textId="77777777" w:rsidR="004B1EED" w:rsidRDefault="008F3197">
      <w:pPr>
        <w:pStyle w:val="BodyText"/>
      </w:pPr>
      <w:r>
        <w:t xml:space="preserve">- Strengthen our external voice in policy, advocacy and public awareness </w:t>
      </w:r>
    </w:p>
    <w:p w14:paraId="50DA8AD8" w14:textId="77777777" w:rsidR="004B1EED" w:rsidRDefault="008F3197">
      <w:pPr>
        <w:pStyle w:val="BodyText"/>
      </w:pPr>
      <w:r>
        <w:t xml:space="preserve">- Build sustainable funding and operational resilience </w:t>
      </w:r>
    </w:p>
    <w:p w14:paraId="744CB7CA" w14:textId="03E705EA" w:rsidR="005364AA" w:rsidRDefault="008F3197">
      <w:pPr>
        <w:pStyle w:val="BodyText"/>
      </w:pPr>
      <w:r>
        <w:t>- Establish IAPC as a thought leader in palliative care innovation and equity</w:t>
      </w:r>
    </w:p>
    <w:p w14:paraId="3E33BCD7" w14:textId="77777777" w:rsidR="005364AA" w:rsidRDefault="007A5922">
      <w:r>
        <w:pict w14:anchorId="69A0CC23">
          <v:rect id="_x0000_i1029" style="width:0;height:1.5pt" o:hralign="center" o:hrstd="t" o:hr="t"/>
        </w:pict>
      </w:r>
    </w:p>
    <w:p w14:paraId="61E052B4" w14:textId="77777777" w:rsidR="005364AA" w:rsidRDefault="008F3197">
      <w:pPr>
        <w:pStyle w:val="Heading2"/>
      </w:pPr>
      <w:bookmarkStart w:id="4" w:name="context-progress"/>
      <w:bookmarkEnd w:id="3"/>
      <w:r>
        <w:t>1. Context &amp; Progress</w:t>
      </w:r>
    </w:p>
    <w:p w14:paraId="75D1B1FB" w14:textId="77777777" w:rsidR="005364AA" w:rsidRDefault="008F3197">
      <w:pPr>
        <w:pStyle w:val="Heading3"/>
      </w:pPr>
      <w:bookmarkStart w:id="5" w:name="where-we-are"/>
      <w:r>
        <w:t>Where we are</w:t>
      </w:r>
    </w:p>
    <w:p w14:paraId="7A45BAC1" w14:textId="77777777" w:rsidR="004B1EED" w:rsidRDefault="008F3197">
      <w:pPr>
        <w:pStyle w:val="FirstParagraph"/>
      </w:pPr>
      <w:r>
        <w:t xml:space="preserve">The 2023–2025 Strategic Plan successfully strengthened IAPC’s foundations: </w:t>
      </w:r>
    </w:p>
    <w:p w14:paraId="7538A67A" w14:textId="7CD7D346" w:rsidR="004B1EED" w:rsidRDefault="008F3197">
      <w:pPr>
        <w:pStyle w:val="FirstParagraph"/>
      </w:pPr>
      <w:r>
        <w:t>- Stabilised and grew membership to approximately 2</w:t>
      </w:r>
      <w:r w:rsidR="00ED075A">
        <w:t>87</w:t>
      </w:r>
      <w:r>
        <w:t xml:space="preserve"> members </w:t>
      </w:r>
    </w:p>
    <w:p w14:paraId="501C85AA" w14:textId="77777777" w:rsidR="004B1EED" w:rsidRDefault="008F3197">
      <w:pPr>
        <w:pStyle w:val="FirstParagraph"/>
      </w:pPr>
      <w:r>
        <w:lastRenderedPageBreak/>
        <w:t xml:space="preserve">- Established three new specialist forums (Ethics, Pharmacy, Nursing) alongside Education &amp; Research </w:t>
      </w:r>
    </w:p>
    <w:p w14:paraId="59CBDE2C" w14:textId="77777777" w:rsidR="004B1EED" w:rsidRDefault="008F3197">
      <w:pPr>
        <w:pStyle w:val="FirstParagraph"/>
      </w:pPr>
      <w:r>
        <w:t xml:space="preserve">- Appointed new Chief Executive Officer and managed transition </w:t>
      </w:r>
    </w:p>
    <w:p w14:paraId="7CBCEB82" w14:textId="3343A831" w:rsidR="004B1EED" w:rsidRDefault="008F3197">
      <w:pPr>
        <w:pStyle w:val="FirstParagraph"/>
      </w:pPr>
      <w:r>
        <w:t>- Secured POBAL funding until June 202</w:t>
      </w:r>
      <w:r w:rsidR="003A06E5">
        <w:t>6</w:t>
      </w:r>
      <w:r>
        <w:t xml:space="preserve"> to support staffing </w:t>
      </w:r>
    </w:p>
    <w:p w14:paraId="08A5EE49" w14:textId="7D172A41" w:rsidR="005364AA" w:rsidRDefault="008F3197">
      <w:pPr>
        <w:pStyle w:val="FirstParagraph"/>
      </w:pPr>
      <w:r>
        <w:t>- Strengthened governance practices and board effectiveness</w:t>
      </w:r>
    </w:p>
    <w:p w14:paraId="60B322FC" w14:textId="77777777" w:rsidR="005364AA" w:rsidRDefault="008F3197">
      <w:pPr>
        <w:pStyle w:val="Heading3"/>
      </w:pPr>
      <w:bookmarkStart w:id="6" w:name="the-environment-ahead"/>
      <w:bookmarkEnd w:id="5"/>
      <w:r>
        <w:t>The environment ahead</w:t>
      </w:r>
    </w:p>
    <w:p w14:paraId="047B9CAE" w14:textId="77777777" w:rsidR="004B1EED" w:rsidRDefault="008F3197">
      <w:pPr>
        <w:pStyle w:val="FirstParagraph"/>
      </w:pPr>
      <w:r>
        <w:t xml:space="preserve">Looking to 2026–2029, IAPC operates within a rapidly evolving context: </w:t>
      </w:r>
    </w:p>
    <w:p w14:paraId="1CAC915F" w14:textId="77777777" w:rsidR="004B1EED" w:rsidRDefault="008F3197">
      <w:pPr>
        <w:pStyle w:val="FirstParagraph"/>
      </w:pPr>
      <w:r>
        <w:t xml:space="preserve">- Growing emphasis on equity, access, digital health and AI in healthcare delivery </w:t>
      </w:r>
    </w:p>
    <w:p w14:paraId="6391B66C" w14:textId="77777777" w:rsidR="00280A72" w:rsidRDefault="008F3197">
      <w:pPr>
        <w:pStyle w:val="FirstParagraph"/>
      </w:pPr>
      <w:r>
        <w:t xml:space="preserve">- Increased international dialogue on palliative care standards and workforce development </w:t>
      </w:r>
    </w:p>
    <w:p w14:paraId="1B4FDCC9" w14:textId="61D5D678" w:rsidR="00280A72" w:rsidRDefault="008F3197">
      <w:pPr>
        <w:pStyle w:val="FirstParagraph"/>
      </w:pPr>
      <w:r>
        <w:t xml:space="preserve">- Rising demand for evidence, outcomes measurement and public accountability </w:t>
      </w:r>
    </w:p>
    <w:p w14:paraId="53520DCA" w14:textId="7971BC40" w:rsidR="005364AA" w:rsidRDefault="008F3197">
      <w:pPr>
        <w:pStyle w:val="FirstParagraph"/>
      </w:pPr>
      <w:r>
        <w:t>- Changing funding landscape requiring diversification and sustainability planning</w:t>
      </w:r>
    </w:p>
    <w:p w14:paraId="0DE7DBF9" w14:textId="77777777" w:rsidR="005364AA" w:rsidRDefault="007A5922">
      <w:r>
        <w:pict w14:anchorId="58C44B08">
          <v:rect id="_x0000_i1030" style="width:0;height:1.5pt" o:hralign="center" o:hrstd="t" o:hr="t"/>
        </w:pict>
      </w:r>
    </w:p>
    <w:p w14:paraId="12EE8DEA" w14:textId="77777777" w:rsidR="005364AA" w:rsidRDefault="008F3197">
      <w:pPr>
        <w:pStyle w:val="Heading2"/>
      </w:pPr>
      <w:bookmarkStart w:id="7" w:name="strategic-vision-values"/>
      <w:bookmarkEnd w:id="4"/>
      <w:bookmarkEnd w:id="6"/>
      <w:r>
        <w:t>2. Strategic Vision &amp; Values</w:t>
      </w:r>
    </w:p>
    <w:p w14:paraId="64C71529" w14:textId="77777777" w:rsidR="005364AA" w:rsidRDefault="008F3197">
      <w:pPr>
        <w:pStyle w:val="Heading3"/>
      </w:pPr>
      <w:bookmarkStart w:id="8" w:name="vision"/>
      <w:r>
        <w:t>Vision</w:t>
      </w:r>
    </w:p>
    <w:p w14:paraId="4483A6DA" w14:textId="77777777" w:rsidR="005364AA" w:rsidRDefault="008F3197">
      <w:pPr>
        <w:pStyle w:val="FirstParagraph"/>
      </w:pPr>
      <w:r>
        <w:t>Using our collective expert voice to advance equity, innovation and excellence in palliative care in Ireland.</w:t>
      </w:r>
    </w:p>
    <w:p w14:paraId="09A4D4B0" w14:textId="77777777" w:rsidR="005364AA" w:rsidRDefault="008F3197">
      <w:pPr>
        <w:pStyle w:val="Heading3"/>
      </w:pPr>
      <w:bookmarkStart w:id="9" w:name="purpose"/>
      <w:bookmarkEnd w:id="8"/>
      <w:r>
        <w:t>Purpose</w:t>
      </w:r>
    </w:p>
    <w:p w14:paraId="13800F19" w14:textId="77777777" w:rsidR="005364AA" w:rsidRDefault="008F3197">
      <w:pPr>
        <w:pStyle w:val="FirstParagraph"/>
      </w:pPr>
      <w:r>
        <w:t>As a multidisciplinary membership organisation, the Irish Association for Palliative Care brings practitioners together to advance equitable, accessible and excellent palliative care through member engagement, education and research, forum collaboration, and stakeholder partnerships.</w:t>
      </w:r>
    </w:p>
    <w:p w14:paraId="32CFFD89" w14:textId="77777777" w:rsidR="005364AA" w:rsidRDefault="008F3197">
      <w:pPr>
        <w:pStyle w:val="Heading3"/>
      </w:pPr>
      <w:bookmarkStart w:id="10" w:name="core-values"/>
      <w:bookmarkEnd w:id="9"/>
      <w:r>
        <w:t>Core Values</w:t>
      </w:r>
    </w:p>
    <w:p w14:paraId="703E473C" w14:textId="77777777" w:rsidR="005364AA" w:rsidRDefault="008F3197">
      <w:pPr>
        <w:pStyle w:val="FirstParagraph"/>
      </w:pPr>
      <w:r>
        <w:t>We remain guided by the values established in our 2023–2025 plan:</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27"/>
        <w:gridCol w:w="6623"/>
      </w:tblGrid>
      <w:tr w:rsidR="005364AA" w14:paraId="6BDB5764" w14:textId="77777777" w:rsidTr="00164E1F">
        <w:trPr>
          <w:cnfStyle w:val="100000000000" w:firstRow="1" w:lastRow="0" w:firstColumn="0" w:lastColumn="0" w:oddVBand="0" w:evenVBand="0" w:oddHBand="0" w:evenHBand="0" w:firstRowFirstColumn="0" w:firstRowLastColumn="0" w:lastRowFirstColumn="0" w:lastRowLastColumn="0"/>
          <w:tblHeader/>
        </w:trPr>
        <w:tc>
          <w:tcPr>
            <w:tcW w:w="2310" w:type="dxa"/>
            <w:tcBorders>
              <w:bottom w:val="none" w:sz="0" w:space="0" w:color="auto"/>
            </w:tcBorders>
          </w:tcPr>
          <w:p w14:paraId="203FBA2A" w14:textId="77777777" w:rsidR="005364AA" w:rsidRDefault="008F3197">
            <w:pPr>
              <w:pStyle w:val="Compact"/>
            </w:pPr>
            <w:r>
              <w:t>Value</w:t>
            </w:r>
          </w:p>
        </w:tc>
        <w:tc>
          <w:tcPr>
            <w:tcW w:w="5610" w:type="dxa"/>
            <w:tcBorders>
              <w:bottom w:val="none" w:sz="0" w:space="0" w:color="auto"/>
            </w:tcBorders>
          </w:tcPr>
          <w:p w14:paraId="47D5B05A" w14:textId="77777777" w:rsidR="005364AA" w:rsidRDefault="008F3197">
            <w:pPr>
              <w:pStyle w:val="Compact"/>
            </w:pPr>
            <w:r>
              <w:t>What this means</w:t>
            </w:r>
          </w:p>
        </w:tc>
      </w:tr>
      <w:tr w:rsidR="005364AA" w14:paraId="359101C5" w14:textId="77777777" w:rsidTr="00164E1F">
        <w:tc>
          <w:tcPr>
            <w:tcW w:w="2310" w:type="dxa"/>
          </w:tcPr>
          <w:p w14:paraId="58B48A58" w14:textId="77777777" w:rsidR="005364AA" w:rsidRDefault="008F3197">
            <w:pPr>
              <w:pStyle w:val="Compact"/>
            </w:pPr>
            <w:r>
              <w:rPr>
                <w:b/>
                <w:bCs/>
              </w:rPr>
              <w:t>Collaboration</w:t>
            </w:r>
          </w:p>
        </w:tc>
        <w:tc>
          <w:tcPr>
            <w:tcW w:w="5610" w:type="dxa"/>
          </w:tcPr>
          <w:p w14:paraId="212C24EB" w14:textId="77777777" w:rsidR="005364AA" w:rsidRDefault="008F3197">
            <w:pPr>
              <w:pStyle w:val="Compact"/>
            </w:pPr>
            <w:r>
              <w:t>We achieve more together. We partner with peers, stakeholders and service users to advance palliative care.</w:t>
            </w:r>
          </w:p>
        </w:tc>
      </w:tr>
      <w:tr w:rsidR="005364AA" w14:paraId="6296F5BF" w14:textId="77777777" w:rsidTr="00164E1F">
        <w:tc>
          <w:tcPr>
            <w:tcW w:w="2310" w:type="dxa"/>
          </w:tcPr>
          <w:p w14:paraId="16FDB777" w14:textId="77777777" w:rsidR="005364AA" w:rsidRDefault="008F3197">
            <w:pPr>
              <w:pStyle w:val="Compact"/>
            </w:pPr>
            <w:r>
              <w:rPr>
                <w:b/>
                <w:bCs/>
              </w:rPr>
              <w:t>Challenge</w:t>
            </w:r>
          </w:p>
        </w:tc>
        <w:tc>
          <w:tcPr>
            <w:tcW w:w="5610" w:type="dxa"/>
          </w:tcPr>
          <w:p w14:paraId="1E73FBFE" w14:textId="77777777" w:rsidR="005364AA" w:rsidRDefault="008F3197">
            <w:pPr>
              <w:pStyle w:val="Compact"/>
            </w:pPr>
            <w:r>
              <w:t>We speak up for good practice and act as a constructive critical voice in policy and practice.</w:t>
            </w:r>
          </w:p>
        </w:tc>
      </w:tr>
      <w:tr w:rsidR="005364AA" w14:paraId="48F28176" w14:textId="77777777" w:rsidTr="00164E1F">
        <w:tc>
          <w:tcPr>
            <w:tcW w:w="2310" w:type="dxa"/>
          </w:tcPr>
          <w:p w14:paraId="545E7C3F" w14:textId="77777777" w:rsidR="005364AA" w:rsidRDefault="008F3197">
            <w:pPr>
              <w:pStyle w:val="Compact"/>
            </w:pPr>
            <w:r>
              <w:rPr>
                <w:b/>
                <w:bCs/>
              </w:rPr>
              <w:t>Independence</w:t>
            </w:r>
          </w:p>
        </w:tc>
        <w:tc>
          <w:tcPr>
            <w:tcW w:w="5610" w:type="dxa"/>
          </w:tcPr>
          <w:p w14:paraId="47D17140" w14:textId="77777777" w:rsidR="005364AA" w:rsidRDefault="008F3197">
            <w:pPr>
              <w:pStyle w:val="Compact"/>
            </w:pPr>
            <w:r>
              <w:t>We remain free from vested interests to serve our members and the broader palliative care community with integrity.</w:t>
            </w:r>
          </w:p>
        </w:tc>
      </w:tr>
      <w:tr w:rsidR="005364AA" w14:paraId="4ACAC32C" w14:textId="77777777" w:rsidTr="00164E1F">
        <w:tc>
          <w:tcPr>
            <w:tcW w:w="2310" w:type="dxa"/>
          </w:tcPr>
          <w:p w14:paraId="1A5D6436" w14:textId="77777777" w:rsidR="005364AA" w:rsidRDefault="008F3197">
            <w:pPr>
              <w:pStyle w:val="Compact"/>
            </w:pPr>
            <w:r>
              <w:rPr>
                <w:b/>
                <w:bCs/>
              </w:rPr>
              <w:lastRenderedPageBreak/>
              <w:t>Inclusivity</w:t>
            </w:r>
          </w:p>
        </w:tc>
        <w:tc>
          <w:tcPr>
            <w:tcW w:w="5610" w:type="dxa"/>
          </w:tcPr>
          <w:p w14:paraId="0BDA2504" w14:textId="77777777" w:rsidR="005364AA" w:rsidRDefault="008F3197">
            <w:pPr>
              <w:pStyle w:val="Compact"/>
            </w:pPr>
            <w:r>
              <w:t>We value all voices—clinicians, researchers, educators, managers and service users—and work to reduce barriers to participation.</w:t>
            </w:r>
          </w:p>
        </w:tc>
      </w:tr>
      <w:tr w:rsidR="005364AA" w14:paraId="4A8CCF71" w14:textId="77777777" w:rsidTr="00164E1F">
        <w:tc>
          <w:tcPr>
            <w:tcW w:w="2310" w:type="dxa"/>
          </w:tcPr>
          <w:p w14:paraId="5FAE5C14" w14:textId="77777777" w:rsidR="005364AA" w:rsidRDefault="008F3197">
            <w:pPr>
              <w:pStyle w:val="Compact"/>
            </w:pPr>
            <w:r>
              <w:rPr>
                <w:b/>
                <w:bCs/>
              </w:rPr>
              <w:t>Equity</w:t>
            </w:r>
          </w:p>
        </w:tc>
        <w:tc>
          <w:tcPr>
            <w:tcW w:w="5610" w:type="dxa"/>
          </w:tcPr>
          <w:p w14:paraId="3F0F5716" w14:textId="77777777" w:rsidR="005364AA" w:rsidRDefault="008F3197">
            <w:pPr>
              <w:pStyle w:val="Compact"/>
            </w:pPr>
            <w:r>
              <w:t>We champion equal access to palliative care for all who need it and challenge systemic barriers.</w:t>
            </w:r>
          </w:p>
        </w:tc>
      </w:tr>
      <w:tr w:rsidR="005364AA" w14:paraId="30437F4D" w14:textId="77777777" w:rsidTr="00164E1F">
        <w:tc>
          <w:tcPr>
            <w:tcW w:w="2310" w:type="dxa"/>
          </w:tcPr>
          <w:p w14:paraId="16FF03D6" w14:textId="77777777" w:rsidR="005364AA" w:rsidRDefault="008F3197">
            <w:pPr>
              <w:pStyle w:val="Compact"/>
            </w:pPr>
            <w:r>
              <w:rPr>
                <w:b/>
                <w:bCs/>
              </w:rPr>
              <w:t>Multi-disciplinary</w:t>
            </w:r>
          </w:p>
        </w:tc>
        <w:tc>
          <w:tcPr>
            <w:tcW w:w="5610" w:type="dxa"/>
          </w:tcPr>
          <w:p w14:paraId="5042DDCA" w14:textId="77777777" w:rsidR="005364AA" w:rsidRDefault="008F3197">
            <w:pPr>
              <w:pStyle w:val="Compact"/>
            </w:pPr>
            <w:r>
              <w:t>We value and actively promote the diverse expertise of clinicians, researchers, educators, managers and service users across all relevant healthcare disciplines.</w:t>
            </w:r>
          </w:p>
        </w:tc>
      </w:tr>
    </w:tbl>
    <w:p w14:paraId="28777C8C" w14:textId="77777777" w:rsidR="005364AA" w:rsidRDefault="007A5922">
      <w:r>
        <w:pict w14:anchorId="7D7F5675">
          <v:rect id="_x0000_i1031" style="width:0;height:1.5pt" o:hralign="center" o:hrstd="t" o:hr="t"/>
        </w:pict>
      </w:r>
    </w:p>
    <w:p w14:paraId="0AF1DCF5" w14:textId="77777777" w:rsidR="005364AA" w:rsidRDefault="008F3197">
      <w:pPr>
        <w:pStyle w:val="Heading2"/>
      </w:pPr>
      <w:bookmarkStart w:id="11" w:name="four-strategic-goals"/>
      <w:bookmarkEnd w:id="7"/>
      <w:bookmarkEnd w:id="10"/>
      <w:r>
        <w:t>3. Four Strategic Goals</w:t>
      </w:r>
    </w:p>
    <w:p w14:paraId="7BB64B2A" w14:textId="304AF053" w:rsidR="005364AA" w:rsidRDefault="008F3197">
      <w:pPr>
        <w:pStyle w:val="Heading3"/>
      </w:pPr>
      <w:bookmarkStart w:id="12" w:name="X9bc4ec0c4e027e7d500b03eecd5ce682a426d9c"/>
      <w:r>
        <w:t xml:space="preserve">Goal 1: </w:t>
      </w:r>
      <w:r w:rsidR="00F9114B">
        <w:t>REACH IN</w:t>
      </w:r>
      <w:r>
        <w:t xml:space="preserve"> - Deepen member value and engagement</w:t>
      </w:r>
    </w:p>
    <w:p w14:paraId="1B6E71E3" w14:textId="77777777" w:rsidR="005364AA" w:rsidRDefault="008F3197">
      <w:pPr>
        <w:pStyle w:val="FirstParagraph"/>
      </w:pPr>
      <w:r>
        <w:rPr>
          <w:b/>
          <w:bCs/>
        </w:rPr>
        <w:t>We harness and develop opportunities for our members to network, learn, lead and contribute to advancing generalist and specialist palliative care.</w:t>
      </w:r>
    </w:p>
    <w:p w14:paraId="7713CD08" w14:textId="77777777" w:rsidR="005364AA" w:rsidRDefault="008F3197">
      <w:pPr>
        <w:pStyle w:val="Heading4"/>
      </w:pPr>
      <w:bookmarkStart w:id="13" w:name="why-this-matters"/>
      <w:r>
        <w:t>Why this matters</w:t>
      </w:r>
    </w:p>
    <w:p w14:paraId="4DAD9541" w14:textId="77777777" w:rsidR="005364AA" w:rsidRDefault="008F3197">
      <w:pPr>
        <w:pStyle w:val="FirstParagraph"/>
      </w:pPr>
      <w:r>
        <w:t>Our membership is our greatest asset. Members bring frontline expertise, credibility and diverse perspectives. Deepening their engagement enhances their professional development whilst strengthening IAPC’s impact.</w:t>
      </w:r>
    </w:p>
    <w:p w14:paraId="2F6AC51B" w14:textId="76A9511A" w:rsidR="00406C8E" w:rsidRDefault="005C2A30" w:rsidP="00406C8E">
      <w:pPr>
        <w:pStyle w:val="BodyText"/>
        <w:rPr>
          <w:color w:val="EE0000"/>
        </w:rPr>
      </w:pPr>
      <w:r>
        <w:rPr>
          <w:color w:val="EE0000"/>
        </w:rPr>
        <w:t>Ethics is a core forum</w:t>
      </w:r>
    </w:p>
    <w:p w14:paraId="1743C771" w14:textId="77777777" w:rsidR="005364AA" w:rsidRDefault="008F3197">
      <w:pPr>
        <w:pStyle w:val="Heading4"/>
      </w:pPr>
      <w:bookmarkStart w:id="14" w:name="key-objectives"/>
      <w:bookmarkEnd w:id="13"/>
      <w:r>
        <w:t>Key objectives</w:t>
      </w:r>
    </w:p>
    <w:p w14:paraId="1E46F1F3" w14:textId="77777777" w:rsidR="005364AA" w:rsidRDefault="008F3197">
      <w:pPr>
        <w:pStyle w:val="Compact"/>
        <w:numPr>
          <w:ilvl w:val="0"/>
          <w:numId w:val="2"/>
        </w:numPr>
      </w:pPr>
      <w:r>
        <w:t>Grow membership sustainably by 2029</w:t>
      </w:r>
    </w:p>
    <w:p w14:paraId="22BCBE16" w14:textId="77777777" w:rsidR="005364AA" w:rsidRDefault="008F3197">
      <w:pPr>
        <w:pStyle w:val="Compact"/>
        <w:numPr>
          <w:ilvl w:val="0"/>
          <w:numId w:val="2"/>
        </w:numPr>
      </w:pPr>
      <w:r>
        <w:t>Enhance forum effectiveness: ensure four active forums deliver meaningful collaboration and real outputs</w:t>
      </w:r>
    </w:p>
    <w:p w14:paraId="3DD51E6B" w14:textId="77777777" w:rsidR="005364AA" w:rsidRDefault="008F3197">
      <w:pPr>
        <w:pStyle w:val="Compact"/>
        <w:numPr>
          <w:ilvl w:val="0"/>
          <w:numId w:val="2"/>
        </w:numPr>
      </w:pPr>
      <w:r>
        <w:t>Introduce innovation labs and mentorship opportunities to pair experienced professionals with emerging talent</w:t>
      </w:r>
    </w:p>
    <w:p w14:paraId="33FCD333" w14:textId="77777777" w:rsidR="005364AA" w:rsidRDefault="008F3197">
      <w:pPr>
        <w:pStyle w:val="Compact"/>
        <w:numPr>
          <w:ilvl w:val="0"/>
          <w:numId w:val="2"/>
        </w:numPr>
      </w:pPr>
      <w:r>
        <w:t>Launch new digital forum on Equity &amp; Access in Palliative Care to keep members up to date</w:t>
      </w:r>
    </w:p>
    <w:p w14:paraId="053F2DB0" w14:textId="34539846" w:rsidR="005364AA" w:rsidRDefault="008F3197">
      <w:pPr>
        <w:pStyle w:val="Compact"/>
        <w:numPr>
          <w:ilvl w:val="0"/>
          <w:numId w:val="2"/>
        </w:numPr>
      </w:pPr>
      <w:r>
        <w:t>Host high-quality CPD accredited events: minimum 500+ combined attendance across all events</w:t>
      </w:r>
      <w:r w:rsidR="002B78BE">
        <w:t xml:space="preserve"> over the cumulative period</w:t>
      </w:r>
    </w:p>
    <w:p w14:paraId="43B0E42B" w14:textId="41509A36" w:rsidR="00BA0390" w:rsidRDefault="00CE5264">
      <w:pPr>
        <w:pStyle w:val="Compact"/>
        <w:numPr>
          <w:ilvl w:val="0"/>
          <w:numId w:val="2"/>
        </w:numPr>
      </w:pPr>
      <w:r>
        <w:t>Launch a National Clinical Day for the Nursing Forum</w:t>
      </w:r>
    </w:p>
    <w:p w14:paraId="3FF51CC7" w14:textId="76B6ECE4" w:rsidR="00FC4C2C" w:rsidRDefault="00FC4C2C">
      <w:pPr>
        <w:pStyle w:val="Compact"/>
        <w:numPr>
          <w:ilvl w:val="0"/>
          <w:numId w:val="2"/>
        </w:numPr>
      </w:pPr>
      <w:r>
        <w:t>Continue to grow the annual Education &amp; Research Seminar Day</w:t>
      </w:r>
    </w:p>
    <w:p w14:paraId="63C86A77" w14:textId="77777777" w:rsidR="005364AA" w:rsidRDefault="008F3197">
      <w:pPr>
        <w:pStyle w:val="Heading4"/>
      </w:pPr>
      <w:bookmarkStart w:id="15" w:name="how-we-will-know-we-are-succeeding"/>
      <w:bookmarkEnd w:id="14"/>
      <w:r>
        <w:t>How we will know we are succeeding</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08"/>
        <w:gridCol w:w="3649"/>
        <w:gridCol w:w="3193"/>
      </w:tblGrid>
      <w:tr w:rsidR="005364AA" w14:paraId="407D97A5" w14:textId="77777777" w:rsidTr="002B78BE">
        <w:trPr>
          <w:cnfStyle w:val="100000000000" w:firstRow="1" w:lastRow="0" w:firstColumn="0" w:lastColumn="0" w:oddVBand="0" w:evenVBand="0" w:oddHBand="0" w:evenHBand="0" w:firstRowFirstColumn="0" w:firstRowLastColumn="0" w:lastRowFirstColumn="0" w:lastRowLastColumn="0"/>
          <w:tblHeader/>
        </w:trPr>
        <w:tc>
          <w:tcPr>
            <w:tcW w:w="2508" w:type="dxa"/>
            <w:tcBorders>
              <w:bottom w:val="none" w:sz="0" w:space="0" w:color="auto"/>
            </w:tcBorders>
          </w:tcPr>
          <w:p w14:paraId="1AA9338B" w14:textId="77777777" w:rsidR="005364AA" w:rsidRDefault="008F3197">
            <w:pPr>
              <w:pStyle w:val="Compact"/>
            </w:pPr>
            <w:r>
              <w:t>Indicator</w:t>
            </w:r>
          </w:p>
        </w:tc>
        <w:tc>
          <w:tcPr>
            <w:tcW w:w="3649" w:type="dxa"/>
            <w:tcBorders>
              <w:bottom w:val="none" w:sz="0" w:space="0" w:color="auto"/>
            </w:tcBorders>
          </w:tcPr>
          <w:p w14:paraId="682B2CF1" w14:textId="77777777" w:rsidR="005364AA" w:rsidRDefault="008F3197">
            <w:pPr>
              <w:pStyle w:val="Compact"/>
            </w:pPr>
            <w:r>
              <w:t>Target by 2029</w:t>
            </w:r>
          </w:p>
        </w:tc>
        <w:tc>
          <w:tcPr>
            <w:tcW w:w="3193" w:type="dxa"/>
            <w:tcBorders>
              <w:bottom w:val="none" w:sz="0" w:space="0" w:color="auto"/>
            </w:tcBorders>
          </w:tcPr>
          <w:p w14:paraId="5B680466" w14:textId="77777777" w:rsidR="005364AA" w:rsidRDefault="008F3197">
            <w:pPr>
              <w:pStyle w:val="Compact"/>
            </w:pPr>
            <w:r>
              <w:t>How measured</w:t>
            </w:r>
          </w:p>
        </w:tc>
      </w:tr>
      <w:tr w:rsidR="005364AA" w14:paraId="57FB0C58" w14:textId="77777777" w:rsidTr="002B78BE">
        <w:tc>
          <w:tcPr>
            <w:tcW w:w="2508" w:type="dxa"/>
          </w:tcPr>
          <w:p w14:paraId="2D2F5F92" w14:textId="77777777" w:rsidR="005364AA" w:rsidRDefault="008F3197">
            <w:pPr>
              <w:pStyle w:val="Compact"/>
            </w:pPr>
            <w:r>
              <w:t>Membership numbers</w:t>
            </w:r>
          </w:p>
        </w:tc>
        <w:tc>
          <w:tcPr>
            <w:tcW w:w="3649" w:type="dxa"/>
          </w:tcPr>
          <w:p w14:paraId="0D723A96" w14:textId="77777777" w:rsidR="005364AA" w:rsidRDefault="008F3197">
            <w:pPr>
              <w:pStyle w:val="Compact"/>
            </w:pPr>
            <w:r>
              <w:t>Sustainable growth</w:t>
            </w:r>
          </w:p>
        </w:tc>
        <w:tc>
          <w:tcPr>
            <w:tcW w:w="3193" w:type="dxa"/>
          </w:tcPr>
          <w:p w14:paraId="723E3819" w14:textId="77777777" w:rsidR="005364AA" w:rsidRDefault="008F3197">
            <w:pPr>
              <w:pStyle w:val="Compact"/>
            </w:pPr>
            <w:r>
              <w:t>Annual member audit</w:t>
            </w:r>
          </w:p>
        </w:tc>
      </w:tr>
      <w:tr w:rsidR="005364AA" w14:paraId="1BE22CA1" w14:textId="77777777" w:rsidTr="002B78BE">
        <w:tc>
          <w:tcPr>
            <w:tcW w:w="2508" w:type="dxa"/>
          </w:tcPr>
          <w:p w14:paraId="55157026" w14:textId="77777777" w:rsidR="005364AA" w:rsidRDefault="008F3197">
            <w:pPr>
              <w:pStyle w:val="Compact"/>
            </w:pPr>
            <w:r>
              <w:lastRenderedPageBreak/>
              <w:t>Forum activity</w:t>
            </w:r>
          </w:p>
        </w:tc>
        <w:tc>
          <w:tcPr>
            <w:tcW w:w="3649" w:type="dxa"/>
          </w:tcPr>
          <w:p w14:paraId="327C3606" w14:textId="77777777" w:rsidR="005364AA" w:rsidRDefault="008F3197">
            <w:pPr>
              <w:pStyle w:val="Compact"/>
            </w:pPr>
            <w:r>
              <w:t>4 active forums, 1+ workshop/webinar per year</w:t>
            </w:r>
          </w:p>
        </w:tc>
        <w:tc>
          <w:tcPr>
            <w:tcW w:w="3193" w:type="dxa"/>
          </w:tcPr>
          <w:p w14:paraId="62316450" w14:textId="77777777" w:rsidR="005364AA" w:rsidRDefault="008F3197">
            <w:pPr>
              <w:pStyle w:val="Compact"/>
            </w:pPr>
            <w:r>
              <w:t>Forum reports; participation logs</w:t>
            </w:r>
          </w:p>
        </w:tc>
      </w:tr>
      <w:tr w:rsidR="005364AA" w14:paraId="740F9FC6" w14:textId="77777777" w:rsidTr="002B78BE">
        <w:tc>
          <w:tcPr>
            <w:tcW w:w="2508" w:type="dxa"/>
          </w:tcPr>
          <w:p w14:paraId="4ED6CE9D" w14:textId="77777777" w:rsidR="005364AA" w:rsidRDefault="008F3197">
            <w:pPr>
              <w:pStyle w:val="Compact"/>
            </w:pPr>
            <w:r>
              <w:t>Event attendance</w:t>
            </w:r>
          </w:p>
        </w:tc>
        <w:tc>
          <w:tcPr>
            <w:tcW w:w="3649" w:type="dxa"/>
          </w:tcPr>
          <w:p w14:paraId="21C14ABB" w14:textId="77777777" w:rsidR="005364AA" w:rsidRDefault="008F3197">
            <w:pPr>
              <w:pStyle w:val="Compact"/>
            </w:pPr>
            <w:r>
              <w:t>500+ combined across all events</w:t>
            </w:r>
          </w:p>
        </w:tc>
        <w:tc>
          <w:tcPr>
            <w:tcW w:w="3193" w:type="dxa"/>
          </w:tcPr>
          <w:p w14:paraId="0F5CBEC7" w14:textId="77777777" w:rsidR="005364AA" w:rsidRDefault="008F3197">
            <w:pPr>
              <w:pStyle w:val="Compact"/>
            </w:pPr>
            <w:r>
              <w:t>Attendance records; registration data</w:t>
            </w:r>
          </w:p>
        </w:tc>
      </w:tr>
    </w:tbl>
    <w:p w14:paraId="453F1E9B" w14:textId="77777777" w:rsidR="005364AA" w:rsidRDefault="007A5922">
      <w:r>
        <w:pict w14:anchorId="1924BD91">
          <v:rect id="_x0000_i1032" style="width:0;height:1.5pt" o:hralign="center" o:hrstd="t" o:hr="t"/>
        </w:pict>
      </w:r>
    </w:p>
    <w:p w14:paraId="2185FF18" w14:textId="3FD983AD" w:rsidR="005364AA" w:rsidRDefault="008F3197">
      <w:pPr>
        <w:pStyle w:val="Heading3"/>
      </w:pPr>
      <w:bookmarkStart w:id="16" w:name="Xd7014d4330b822c6dde3e084db982ac2b60e31c"/>
      <w:bookmarkEnd w:id="12"/>
      <w:bookmarkEnd w:id="15"/>
      <w:r>
        <w:t xml:space="preserve">Goal 2: CONNECT - Strengthen communication and </w:t>
      </w:r>
      <w:r w:rsidR="004D1D3C">
        <w:t>increase our presence</w:t>
      </w:r>
    </w:p>
    <w:p w14:paraId="2C980CF1" w14:textId="77777777" w:rsidR="005364AA" w:rsidRDefault="008F3197">
      <w:pPr>
        <w:pStyle w:val="FirstParagraph"/>
      </w:pPr>
      <w:r>
        <w:rPr>
          <w:b/>
          <w:bCs/>
        </w:rPr>
        <w:t>We communicate member value, promote excellence in palliative care and keep IAPC visible to members, stakeholders and the public.</w:t>
      </w:r>
    </w:p>
    <w:p w14:paraId="60354F7E" w14:textId="77777777" w:rsidR="005364AA" w:rsidRDefault="008F3197">
      <w:pPr>
        <w:pStyle w:val="Heading4"/>
      </w:pPr>
      <w:bookmarkStart w:id="17" w:name="why-this-matters-1"/>
      <w:r>
        <w:t>Why this matters</w:t>
      </w:r>
    </w:p>
    <w:p w14:paraId="78377BB9" w14:textId="77777777" w:rsidR="005364AA" w:rsidRDefault="008F3197">
      <w:pPr>
        <w:pStyle w:val="FirstParagraph"/>
      </w:pPr>
      <w:r>
        <w:t>A strong external voice amplifies our advocacy impact and attracts new members. Strategic communication demonstrates our value and positions IAPC as a trusted source of expertise.</w:t>
      </w:r>
    </w:p>
    <w:p w14:paraId="03925814" w14:textId="77777777" w:rsidR="005364AA" w:rsidRDefault="008F3197">
      <w:pPr>
        <w:pStyle w:val="Heading4"/>
      </w:pPr>
      <w:bookmarkStart w:id="18" w:name="key-objectives-1"/>
      <w:bookmarkEnd w:id="17"/>
      <w:r>
        <w:t>Key objectives</w:t>
      </w:r>
    </w:p>
    <w:p w14:paraId="2049B216" w14:textId="77777777" w:rsidR="005364AA" w:rsidRDefault="008F3197">
      <w:pPr>
        <w:pStyle w:val="Compact"/>
        <w:numPr>
          <w:ilvl w:val="0"/>
          <w:numId w:val="3"/>
        </w:numPr>
      </w:pPr>
      <w:r>
        <w:t>Develop and implement a refreshed digital presence</w:t>
      </w:r>
    </w:p>
    <w:p w14:paraId="4641C005" w14:textId="77777777" w:rsidR="005364AA" w:rsidRDefault="008F3197">
      <w:pPr>
        <w:pStyle w:val="Compact"/>
        <w:numPr>
          <w:ilvl w:val="0"/>
          <w:numId w:val="3"/>
        </w:numPr>
      </w:pPr>
      <w:r>
        <w:t>Implement a member engagement dashboard to track participation</w:t>
      </w:r>
    </w:p>
    <w:p w14:paraId="63706B56" w14:textId="77777777" w:rsidR="005364AA" w:rsidRDefault="008F3197">
      <w:pPr>
        <w:pStyle w:val="Compact"/>
        <w:numPr>
          <w:ilvl w:val="0"/>
          <w:numId w:val="3"/>
        </w:numPr>
      </w:pPr>
      <w:r>
        <w:t>Create short-form content to bring member work to life</w:t>
      </w:r>
    </w:p>
    <w:p w14:paraId="6AD2B52E" w14:textId="77777777" w:rsidR="005364AA" w:rsidRDefault="008F3197">
      <w:pPr>
        <w:pStyle w:val="Compact"/>
        <w:numPr>
          <w:ilvl w:val="0"/>
          <w:numId w:val="3"/>
        </w:numPr>
      </w:pPr>
      <w:r>
        <w:t>Translate key IAPC resources into Irish and other languages</w:t>
      </w:r>
    </w:p>
    <w:p w14:paraId="307D97FA" w14:textId="77777777" w:rsidR="005364AA" w:rsidRDefault="008F3197">
      <w:pPr>
        <w:pStyle w:val="Compact"/>
        <w:numPr>
          <w:ilvl w:val="0"/>
          <w:numId w:val="3"/>
        </w:numPr>
      </w:pPr>
      <w:r>
        <w:t>Expand communications: regular newsletters and policy briefings</w:t>
      </w:r>
    </w:p>
    <w:p w14:paraId="5D3C2BCF" w14:textId="77777777" w:rsidR="005364AA" w:rsidRDefault="008F3197">
      <w:pPr>
        <w:pStyle w:val="Heading4"/>
      </w:pPr>
      <w:bookmarkStart w:id="19" w:name="how-we-will-know-we-are-succeeding-1"/>
      <w:bookmarkEnd w:id="18"/>
      <w:r>
        <w:t>How we will know we are succeeding</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08"/>
        <w:gridCol w:w="3649"/>
        <w:gridCol w:w="3193"/>
      </w:tblGrid>
      <w:tr w:rsidR="005364AA" w14:paraId="22E6A169" w14:textId="77777777" w:rsidTr="00005DB5">
        <w:trPr>
          <w:cnfStyle w:val="100000000000" w:firstRow="1" w:lastRow="0" w:firstColumn="0" w:lastColumn="0" w:oddVBand="0" w:evenVBand="0" w:oddHBand="0" w:evenHBand="0" w:firstRowFirstColumn="0" w:firstRowLastColumn="0" w:lastRowFirstColumn="0" w:lastRowLastColumn="0"/>
          <w:tblHeader/>
        </w:trPr>
        <w:tc>
          <w:tcPr>
            <w:tcW w:w="2508" w:type="dxa"/>
            <w:tcBorders>
              <w:bottom w:val="none" w:sz="0" w:space="0" w:color="auto"/>
            </w:tcBorders>
          </w:tcPr>
          <w:p w14:paraId="686983CE" w14:textId="77777777" w:rsidR="005364AA" w:rsidRDefault="008F3197">
            <w:pPr>
              <w:pStyle w:val="Compact"/>
            </w:pPr>
            <w:r>
              <w:t>Indicator</w:t>
            </w:r>
          </w:p>
        </w:tc>
        <w:tc>
          <w:tcPr>
            <w:tcW w:w="3649" w:type="dxa"/>
            <w:tcBorders>
              <w:bottom w:val="none" w:sz="0" w:space="0" w:color="auto"/>
            </w:tcBorders>
          </w:tcPr>
          <w:p w14:paraId="32F26D59" w14:textId="77777777" w:rsidR="005364AA" w:rsidRDefault="008F3197">
            <w:pPr>
              <w:pStyle w:val="Compact"/>
            </w:pPr>
            <w:r>
              <w:t>Target by 2029</w:t>
            </w:r>
          </w:p>
        </w:tc>
        <w:tc>
          <w:tcPr>
            <w:tcW w:w="3193" w:type="dxa"/>
            <w:tcBorders>
              <w:bottom w:val="none" w:sz="0" w:space="0" w:color="auto"/>
            </w:tcBorders>
          </w:tcPr>
          <w:p w14:paraId="1959BE4F" w14:textId="77777777" w:rsidR="005364AA" w:rsidRDefault="008F3197">
            <w:pPr>
              <w:pStyle w:val="Compact"/>
            </w:pPr>
            <w:r>
              <w:t>How measured</w:t>
            </w:r>
          </w:p>
        </w:tc>
      </w:tr>
      <w:tr w:rsidR="005364AA" w14:paraId="2B339D75" w14:textId="77777777" w:rsidTr="00005DB5">
        <w:tc>
          <w:tcPr>
            <w:tcW w:w="2508" w:type="dxa"/>
          </w:tcPr>
          <w:p w14:paraId="04CB0247" w14:textId="77777777" w:rsidR="005364AA" w:rsidRDefault="008F3197">
            <w:pPr>
              <w:pStyle w:val="Compact"/>
            </w:pPr>
            <w:r>
              <w:t>Newsletter engagement</w:t>
            </w:r>
          </w:p>
        </w:tc>
        <w:tc>
          <w:tcPr>
            <w:tcW w:w="3649" w:type="dxa"/>
          </w:tcPr>
          <w:p w14:paraId="7B231C0E" w14:textId="77777777" w:rsidR="005364AA" w:rsidRDefault="008F3197">
            <w:pPr>
              <w:pStyle w:val="Compact"/>
            </w:pPr>
            <w:r>
              <w:t>60%+ open rate; monthly dispatch</w:t>
            </w:r>
          </w:p>
        </w:tc>
        <w:tc>
          <w:tcPr>
            <w:tcW w:w="3193" w:type="dxa"/>
          </w:tcPr>
          <w:p w14:paraId="0CF8431E" w14:textId="77777777" w:rsidR="005364AA" w:rsidRDefault="008F3197">
            <w:pPr>
              <w:pStyle w:val="Compact"/>
            </w:pPr>
            <w:r>
              <w:t>Email analytics</w:t>
            </w:r>
          </w:p>
        </w:tc>
      </w:tr>
      <w:tr w:rsidR="005364AA" w14:paraId="6E116CD5" w14:textId="77777777" w:rsidTr="00005DB5">
        <w:tc>
          <w:tcPr>
            <w:tcW w:w="2508" w:type="dxa"/>
          </w:tcPr>
          <w:p w14:paraId="762C56E2" w14:textId="77777777" w:rsidR="005364AA" w:rsidRDefault="008F3197">
            <w:pPr>
              <w:pStyle w:val="Compact"/>
            </w:pPr>
            <w:r>
              <w:t>Social media reach</w:t>
            </w:r>
          </w:p>
        </w:tc>
        <w:tc>
          <w:tcPr>
            <w:tcW w:w="3649" w:type="dxa"/>
          </w:tcPr>
          <w:p w14:paraId="1E0E23F3" w14:textId="77777777" w:rsidR="005364AA" w:rsidRDefault="008F3197">
            <w:pPr>
              <w:pStyle w:val="Compact"/>
            </w:pPr>
            <w:r>
              <w:t>2x growth in followers</w:t>
            </w:r>
          </w:p>
        </w:tc>
        <w:tc>
          <w:tcPr>
            <w:tcW w:w="3193" w:type="dxa"/>
          </w:tcPr>
          <w:p w14:paraId="1F85E0E5" w14:textId="77777777" w:rsidR="005364AA" w:rsidRDefault="008F3197">
            <w:pPr>
              <w:pStyle w:val="Compact"/>
            </w:pPr>
            <w:r>
              <w:t>Social media analytics</w:t>
            </w:r>
          </w:p>
        </w:tc>
      </w:tr>
      <w:tr w:rsidR="005364AA" w14:paraId="2FAA6891" w14:textId="77777777" w:rsidTr="00005DB5">
        <w:tc>
          <w:tcPr>
            <w:tcW w:w="2508" w:type="dxa"/>
          </w:tcPr>
          <w:p w14:paraId="2D8917B3" w14:textId="77777777" w:rsidR="005364AA" w:rsidRDefault="008F3197">
            <w:pPr>
              <w:pStyle w:val="Compact"/>
            </w:pPr>
            <w:r>
              <w:t>Website usage</w:t>
            </w:r>
          </w:p>
        </w:tc>
        <w:tc>
          <w:tcPr>
            <w:tcW w:w="3649" w:type="dxa"/>
          </w:tcPr>
          <w:p w14:paraId="7F5EEC4A" w14:textId="77777777" w:rsidR="005364AA" w:rsidRDefault="008F3197">
            <w:pPr>
              <w:pStyle w:val="Compact"/>
            </w:pPr>
            <w:r>
              <w:t>Improved member login; 30% more visits</w:t>
            </w:r>
          </w:p>
        </w:tc>
        <w:tc>
          <w:tcPr>
            <w:tcW w:w="3193" w:type="dxa"/>
          </w:tcPr>
          <w:p w14:paraId="779BD0E9" w14:textId="77777777" w:rsidR="005364AA" w:rsidRDefault="008F3197">
            <w:pPr>
              <w:pStyle w:val="Compact"/>
            </w:pPr>
            <w:r>
              <w:t>Web analytics</w:t>
            </w:r>
          </w:p>
        </w:tc>
      </w:tr>
    </w:tbl>
    <w:p w14:paraId="4E0E1E19" w14:textId="32EB95CD" w:rsidR="005364AA" w:rsidRDefault="005364AA"/>
    <w:p w14:paraId="0EA574BC" w14:textId="77777777" w:rsidR="005364AA" w:rsidRDefault="008F3197">
      <w:pPr>
        <w:pStyle w:val="Heading3"/>
      </w:pPr>
      <w:bookmarkStart w:id="20" w:name="X76e4dcbdf81d9ec9c2ac8127b6588405ad40f63"/>
      <w:bookmarkEnd w:id="16"/>
      <w:bookmarkEnd w:id="19"/>
      <w:r>
        <w:t>Goal 3: REACH OUT - Amplify our voice in policy and advocacy</w:t>
      </w:r>
    </w:p>
    <w:p w14:paraId="7C7C06FE" w14:textId="632FDD24" w:rsidR="005364AA" w:rsidRDefault="008F3197">
      <w:pPr>
        <w:pStyle w:val="FirstParagraph"/>
      </w:pPr>
      <w:r>
        <w:rPr>
          <w:b/>
          <w:bCs/>
        </w:rPr>
        <w:t>We advocate for equitable, high-quality palliative care through evidence, partnership and p</w:t>
      </w:r>
      <w:r w:rsidR="00933383">
        <w:rPr>
          <w:b/>
          <w:bCs/>
        </w:rPr>
        <w:t>rofessional representation</w:t>
      </w:r>
      <w:r>
        <w:rPr>
          <w:b/>
          <w:bCs/>
        </w:rPr>
        <w:t>.</w:t>
      </w:r>
    </w:p>
    <w:p w14:paraId="3D252F0B" w14:textId="77777777" w:rsidR="005364AA" w:rsidRDefault="008F3197">
      <w:pPr>
        <w:pStyle w:val="Heading4"/>
      </w:pPr>
      <w:bookmarkStart w:id="21" w:name="why-this-matters-2"/>
      <w:r>
        <w:t>Why this matters</w:t>
      </w:r>
    </w:p>
    <w:p w14:paraId="568A7AB5" w14:textId="77777777" w:rsidR="005364AA" w:rsidRDefault="008F3197">
      <w:pPr>
        <w:pStyle w:val="FirstParagraph"/>
      </w:pPr>
      <w:r>
        <w:t>IAPC’s policy influence and public voice are critical to advancing palliative care. The regional health structure transition and renewed policy frameworks offer opportunities for us to embed palliative care into integrated service delivery.</w:t>
      </w:r>
    </w:p>
    <w:p w14:paraId="1992570F" w14:textId="77777777" w:rsidR="005364AA" w:rsidRDefault="008F3197">
      <w:pPr>
        <w:pStyle w:val="Heading4"/>
      </w:pPr>
      <w:bookmarkStart w:id="22" w:name="key-objectives-2"/>
      <w:bookmarkEnd w:id="21"/>
      <w:r>
        <w:lastRenderedPageBreak/>
        <w:t>Key objectives</w:t>
      </w:r>
    </w:p>
    <w:p w14:paraId="1E22A41B" w14:textId="77777777" w:rsidR="005364AA" w:rsidRDefault="008F3197">
      <w:pPr>
        <w:pStyle w:val="Compact"/>
        <w:numPr>
          <w:ilvl w:val="0"/>
          <w:numId w:val="4"/>
        </w:numPr>
      </w:pPr>
      <w:r>
        <w:t>Actively monitor policy legislation and consultations</w:t>
      </w:r>
    </w:p>
    <w:p w14:paraId="31FE687D" w14:textId="77777777" w:rsidR="005364AA" w:rsidRDefault="008F3197">
      <w:pPr>
        <w:pStyle w:val="Compact"/>
        <w:numPr>
          <w:ilvl w:val="0"/>
          <w:numId w:val="4"/>
        </w:numPr>
      </w:pPr>
      <w:r>
        <w:t>Collaborate with Sláintecare and Regional Health Authorities</w:t>
      </w:r>
    </w:p>
    <w:p w14:paraId="07FB6499" w14:textId="45C70289" w:rsidR="005364AA" w:rsidRDefault="008F3197">
      <w:pPr>
        <w:pStyle w:val="Compact"/>
        <w:numPr>
          <w:ilvl w:val="0"/>
          <w:numId w:val="4"/>
        </w:numPr>
      </w:pPr>
      <w:r>
        <w:t>Develop awareness campaign</w:t>
      </w:r>
      <w:r w:rsidR="00450EB7">
        <w:t xml:space="preserve"> abot the IAPC</w:t>
      </w:r>
    </w:p>
    <w:p w14:paraId="524EE53F" w14:textId="77777777" w:rsidR="005364AA" w:rsidRDefault="008F3197">
      <w:pPr>
        <w:pStyle w:val="Compact"/>
        <w:numPr>
          <w:ilvl w:val="0"/>
          <w:numId w:val="4"/>
        </w:numPr>
      </w:pPr>
      <w:r>
        <w:t>Sustain strategic partnerships with key organisations</w:t>
      </w:r>
    </w:p>
    <w:p w14:paraId="37BD8D69" w14:textId="77777777" w:rsidR="005364AA" w:rsidRDefault="008F3197">
      <w:pPr>
        <w:pStyle w:val="Compact"/>
        <w:numPr>
          <w:ilvl w:val="0"/>
          <w:numId w:val="4"/>
        </w:numPr>
      </w:pPr>
      <w:r>
        <w:t>Secure media coverage and speaking opportunities</w:t>
      </w:r>
    </w:p>
    <w:p w14:paraId="7DE6C1B8" w14:textId="77777777" w:rsidR="005364AA" w:rsidRDefault="008F3197">
      <w:pPr>
        <w:pStyle w:val="Heading4"/>
      </w:pPr>
      <w:bookmarkStart w:id="23" w:name="how-we-will-know-we-are-succeeding-2"/>
      <w:bookmarkEnd w:id="22"/>
      <w:r>
        <w:t>How we will know we are succeeding</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08"/>
        <w:gridCol w:w="3649"/>
        <w:gridCol w:w="3193"/>
      </w:tblGrid>
      <w:tr w:rsidR="005364AA" w14:paraId="1D9C3003" w14:textId="77777777" w:rsidTr="00D35674">
        <w:trPr>
          <w:cnfStyle w:val="100000000000" w:firstRow="1" w:lastRow="0" w:firstColumn="0" w:lastColumn="0" w:oddVBand="0" w:evenVBand="0" w:oddHBand="0" w:evenHBand="0" w:firstRowFirstColumn="0" w:firstRowLastColumn="0" w:lastRowFirstColumn="0" w:lastRowLastColumn="0"/>
          <w:tblHeader/>
        </w:trPr>
        <w:tc>
          <w:tcPr>
            <w:tcW w:w="2508" w:type="dxa"/>
            <w:tcBorders>
              <w:bottom w:val="none" w:sz="0" w:space="0" w:color="auto"/>
            </w:tcBorders>
          </w:tcPr>
          <w:p w14:paraId="18A2A21D" w14:textId="77777777" w:rsidR="005364AA" w:rsidRDefault="008F3197">
            <w:pPr>
              <w:pStyle w:val="Compact"/>
            </w:pPr>
            <w:r>
              <w:t>Indicator</w:t>
            </w:r>
          </w:p>
        </w:tc>
        <w:tc>
          <w:tcPr>
            <w:tcW w:w="3649" w:type="dxa"/>
            <w:tcBorders>
              <w:bottom w:val="none" w:sz="0" w:space="0" w:color="auto"/>
            </w:tcBorders>
          </w:tcPr>
          <w:p w14:paraId="3231E629" w14:textId="77777777" w:rsidR="005364AA" w:rsidRDefault="008F3197">
            <w:pPr>
              <w:pStyle w:val="Compact"/>
            </w:pPr>
            <w:r>
              <w:t>Target by 2029</w:t>
            </w:r>
          </w:p>
        </w:tc>
        <w:tc>
          <w:tcPr>
            <w:tcW w:w="3193" w:type="dxa"/>
            <w:tcBorders>
              <w:bottom w:val="none" w:sz="0" w:space="0" w:color="auto"/>
            </w:tcBorders>
          </w:tcPr>
          <w:p w14:paraId="3F579281" w14:textId="77777777" w:rsidR="005364AA" w:rsidRDefault="008F3197">
            <w:pPr>
              <w:pStyle w:val="Compact"/>
            </w:pPr>
            <w:r>
              <w:t>How measured</w:t>
            </w:r>
          </w:p>
        </w:tc>
      </w:tr>
      <w:tr w:rsidR="005364AA" w14:paraId="774D6ED8" w14:textId="77777777" w:rsidTr="00D35674">
        <w:tc>
          <w:tcPr>
            <w:tcW w:w="2508" w:type="dxa"/>
          </w:tcPr>
          <w:p w14:paraId="0BEAB211" w14:textId="77777777" w:rsidR="005364AA" w:rsidRDefault="008F3197">
            <w:pPr>
              <w:pStyle w:val="Compact"/>
            </w:pPr>
            <w:r>
              <w:t>Position papers/publications</w:t>
            </w:r>
          </w:p>
        </w:tc>
        <w:tc>
          <w:tcPr>
            <w:tcW w:w="3649" w:type="dxa"/>
          </w:tcPr>
          <w:p w14:paraId="45BDFAE3" w14:textId="77777777" w:rsidR="005364AA" w:rsidRDefault="008F3197">
            <w:pPr>
              <w:pStyle w:val="Compact"/>
            </w:pPr>
            <w:r>
              <w:t>Respond and engage as necessary</w:t>
            </w:r>
          </w:p>
        </w:tc>
        <w:tc>
          <w:tcPr>
            <w:tcW w:w="3193" w:type="dxa"/>
          </w:tcPr>
          <w:p w14:paraId="244E9F99" w14:textId="77777777" w:rsidR="005364AA" w:rsidRDefault="008F3197">
            <w:pPr>
              <w:pStyle w:val="Compact"/>
            </w:pPr>
            <w:r>
              <w:t>Engagement records</w:t>
            </w:r>
          </w:p>
        </w:tc>
      </w:tr>
      <w:tr w:rsidR="005364AA" w14:paraId="322DE0BC" w14:textId="77777777" w:rsidTr="00D35674">
        <w:tc>
          <w:tcPr>
            <w:tcW w:w="2508" w:type="dxa"/>
          </w:tcPr>
          <w:p w14:paraId="70A2527F" w14:textId="77777777" w:rsidR="005364AA" w:rsidRDefault="008F3197">
            <w:pPr>
              <w:pStyle w:val="Compact"/>
            </w:pPr>
            <w:r>
              <w:t>External visibility</w:t>
            </w:r>
          </w:p>
        </w:tc>
        <w:tc>
          <w:tcPr>
            <w:tcW w:w="3649" w:type="dxa"/>
          </w:tcPr>
          <w:p w14:paraId="1E43C00F" w14:textId="77777777" w:rsidR="005364AA" w:rsidRDefault="008F3197">
            <w:pPr>
              <w:pStyle w:val="Compact"/>
            </w:pPr>
            <w:r>
              <w:t>Respond and engage as necessary</w:t>
            </w:r>
          </w:p>
        </w:tc>
        <w:tc>
          <w:tcPr>
            <w:tcW w:w="3193" w:type="dxa"/>
          </w:tcPr>
          <w:p w14:paraId="282BC4E9" w14:textId="77777777" w:rsidR="005364AA" w:rsidRDefault="008F3197">
            <w:pPr>
              <w:pStyle w:val="Compact"/>
            </w:pPr>
            <w:r>
              <w:t>Media logs</w:t>
            </w:r>
          </w:p>
        </w:tc>
      </w:tr>
      <w:tr w:rsidR="005364AA" w14:paraId="0950F3DF" w14:textId="77777777" w:rsidTr="00D35674">
        <w:tc>
          <w:tcPr>
            <w:tcW w:w="2508" w:type="dxa"/>
          </w:tcPr>
          <w:p w14:paraId="4E101654" w14:textId="304DDA97" w:rsidR="005364AA" w:rsidRDefault="008F3197">
            <w:pPr>
              <w:pStyle w:val="Compact"/>
            </w:pPr>
            <w:r>
              <w:t>Awareness</w:t>
            </w:r>
            <w:r w:rsidR="00D35674">
              <w:t xml:space="preserve"> + Partnerships</w:t>
            </w:r>
          </w:p>
        </w:tc>
        <w:tc>
          <w:tcPr>
            <w:tcW w:w="3649" w:type="dxa"/>
          </w:tcPr>
          <w:p w14:paraId="5A358548" w14:textId="02359D1A" w:rsidR="005364AA" w:rsidRDefault="008F3197">
            <w:pPr>
              <w:pStyle w:val="Compact"/>
            </w:pPr>
            <w:r>
              <w:t xml:space="preserve">Campaign launched </w:t>
            </w:r>
            <w:r w:rsidR="004F3766">
              <w:t xml:space="preserve">&amp; </w:t>
            </w:r>
            <w:r>
              <w:t>sustained</w:t>
            </w:r>
            <w:r w:rsidR="004F3766">
              <w:t xml:space="preserve"> </w:t>
            </w:r>
            <w:r w:rsidR="00574AF9">
              <w:t>– continued strategic par</w:t>
            </w:r>
            <w:r w:rsidR="00732B80">
              <w:t>t</w:t>
            </w:r>
            <w:r w:rsidR="00574AF9">
              <w:t>nerships</w:t>
            </w:r>
          </w:p>
        </w:tc>
        <w:tc>
          <w:tcPr>
            <w:tcW w:w="3193" w:type="dxa"/>
          </w:tcPr>
          <w:p w14:paraId="52470328" w14:textId="77777777" w:rsidR="005364AA" w:rsidRDefault="008F3197">
            <w:pPr>
              <w:pStyle w:val="Compact"/>
            </w:pPr>
            <w:r>
              <w:t>Campaign metrics</w:t>
            </w:r>
          </w:p>
        </w:tc>
      </w:tr>
    </w:tbl>
    <w:p w14:paraId="01A8596E" w14:textId="77777777" w:rsidR="005364AA" w:rsidRDefault="007A5922">
      <w:r>
        <w:pict w14:anchorId="76E79B32">
          <v:rect id="_x0000_i1033" style="width:0;height:1.5pt" o:hralign="center" o:hrstd="t" o:hr="t"/>
        </w:pict>
      </w:r>
    </w:p>
    <w:p w14:paraId="327B72E8" w14:textId="77777777" w:rsidR="005364AA" w:rsidRDefault="008F3197">
      <w:pPr>
        <w:pStyle w:val="Heading3"/>
      </w:pPr>
      <w:bookmarkStart w:id="24" w:name="X43ddd45a24f4da6baa90e138b5857647695673f"/>
      <w:bookmarkEnd w:id="20"/>
      <w:bookmarkEnd w:id="23"/>
      <w:r>
        <w:t>Goal 4: GOVERNANCE - Build sustainable systems</w:t>
      </w:r>
    </w:p>
    <w:p w14:paraId="44F3EC9F" w14:textId="77777777" w:rsidR="005364AA" w:rsidRDefault="008F3197">
      <w:pPr>
        <w:pStyle w:val="FirstParagraph"/>
      </w:pPr>
      <w:r>
        <w:rPr>
          <w:b/>
          <w:bCs/>
        </w:rPr>
        <w:t>We strengthen our governance, financial sustainability and operational capacity to serve our mission with integrity, impact and resilience.</w:t>
      </w:r>
    </w:p>
    <w:p w14:paraId="5CC979E5" w14:textId="77777777" w:rsidR="005364AA" w:rsidRDefault="008F3197">
      <w:pPr>
        <w:pStyle w:val="Heading4"/>
      </w:pPr>
      <w:bookmarkStart w:id="25" w:name="why-this-matters-3"/>
      <w:r>
        <w:t>Why this matters</w:t>
      </w:r>
    </w:p>
    <w:p w14:paraId="38563E87" w14:textId="77777777" w:rsidR="005364AA" w:rsidRDefault="008F3197">
      <w:pPr>
        <w:pStyle w:val="FirstParagraph"/>
      </w:pPr>
      <w:r>
        <w:t>A small organisation depends on governance excellence and strategic financial management. Building sustainable funding ensures we deliver consistently on our mission.</w:t>
      </w:r>
    </w:p>
    <w:p w14:paraId="5FA98FF1" w14:textId="77777777" w:rsidR="005364AA" w:rsidRDefault="008F3197">
      <w:pPr>
        <w:pStyle w:val="Heading4"/>
      </w:pPr>
      <w:bookmarkStart w:id="26" w:name="key-objectives-3"/>
      <w:bookmarkEnd w:id="25"/>
      <w:r>
        <w:t>Key objectives</w:t>
      </w:r>
    </w:p>
    <w:p w14:paraId="0703F4A9" w14:textId="77777777" w:rsidR="005364AA" w:rsidRDefault="008F3197">
      <w:pPr>
        <w:pStyle w:val="Compact"/>
        <w:numPr>
          <w:ilvl w:val="0"/>
          <w:numId w:val="5"/>
        </w:numPr>
      </w:pPr>
      <w:r>
        <w:t>Diversify funding; identify 3+ new funding sources</w:t>
      </w:r>
    </w:p>
    <w:p w14:paraId="3DCD9E48" w14:textId="77777777" w:rsidR="005364AA" w:rsidRDefault="008F3197">
      <w:pPr>
        <w:pStyle w:val="Compact"/>
        <w:numPr>
          <w:ilvl w:val="0"/>
          <w:numId w:val="5"/>
        </w:numPr>
      </w:pPr>
      <w:r>
        <w:t>Implement annual governance audit and Board development plan</w:t>
      </w:r>
    </w:p>
    <w:p w14:paraId="143E146A" w14:textId="77777777" w:rsidR="005364AA" w:rsidRDefault="008F3197">
      <w:pPr>
        <w:pStyle w:val="Compact"/>
        <w:numPr>
          <w:ilvl w:val="0"/>
          <w:numId w:val="5"/>
        </w:numPr>
      </w:pPr>
      <w:r>
        <w:t>Strengthen succession planning for leadership roles</w:t>
      </w:r>
    </w:p>
    <w:p w14:paraId="2CA1DB55" w14:textId="4F9EA355" w:rsidR="005364AA" w:rsidRDefault="008F3197">
      <w:pPr>
        <w:pStyle w:val="Compact"/>
        <w:numPr>
          <w:ilvl w:val="0"/>
          <w:numId w:val="5"/>
        </w:numPr>
      </w:pPr>
      <w:r>
        <w:t xml:space="preserve">Establish impact measurement </w:t>
      </w:r>
      <w:r w:rsidR="00B85939">
        <w:t>criteria</w:t>
      </w:r>
    </w:p>
    <w:p w14:paraId="586827E4" w14:textId="77777777" w:rsidR="005364AA" w:rsidRDefault="008F3197">
      <w:pPr>
        <w:pStyle w:val="Compact"/>
        <w:numPr>
          <w:ilvl w:val="0"/>
          <w:numId w:val="5"/>
        </w:numPr>
      </w:pPr>
      <w:r>
        <w:t>Build operational resilience and digital systems</w:t>
      </w:r>
    </w:p>
    <w:p w14:paraId="2ECF31C4" w14:textId="77777777" w:rsidR="005364AA" w:rsidRDefault="008F3197">
      <w:pPr>
        <w:pStyle w:val="Heading4"/>
      </w:pPr>
      <w:bookmarkStart w:id="27" w:name="how-we-will-know-we-are-succeeding-3"/>
      <w:bookmarkEnd w:id="26"/>
      <w:r>
        <w:t>How we will know we are succeeding</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08"/>
        <w:gridCol w:w="3649"/>
        <w:gridCol w:w="3193"/>
      </w:tblGrid>
      <w:tr w:rsidR="005364AA" w14:paraId="401F94A3" w14:textId="77777777" w:rsidTr="000423D9">
        <w:trPr>
          <w:cnfStyle w:val="100000000000" w:firstRow="1" w:lastRow="0" w:firstColumn="0" w:lastColumn="0" w:oddVBand="0" w:evenVBand="0" w:oddHBand="0" w:evenHBand="0" w:firstRowFirstColumn="0" w:firstRowLastColumn="0" w:lastRowFirstColumn="0" w:lastRowLastColumn="0"/>
          <w:tblHeader/>
        </w:trPr>
        <w:tc>
          <w:tcPr>
            <w:tcW w:w="2508" w:type="dxa"/>
            <w:tcBorders>
              <w:bottom w:val="none" w:sz="0" w:space="0" w:color="auto"/>
            </w:tcBorders>
          </w:tcPr>
          <w:p w14:paraId="5DB5012C" w14:textId="77777777" w:rsidR="005364AA" w:rsidRDefault="008F3197">
            <w:pPr>
              <w:pStyle w:val="Compact"/>
            </w:pPr>
            <w:r>
              <w:t>Indicator</w:t>
            </w:r>
          </w:p>
        </w:tc>
        <w:tc>
          <w:tcPr>
            <w:tcW w:w="3649" w:type="dxa"/>
            <w:tcBorders>
              <w:bottom w:val="none" w:sz="0" w:space="0" w:color="auto"/>
            </w:tcBorders>
          </w:tcPr>
          <w:p w14:paraId="03FACE14" w14:textId="77777777" w:rsidR="005364AA" w:rsidRDefault="008F3197">
            <w:pPr>
              <w:pStyle w:val="Compact"/>
            </w:pPr>
            <w:r>
              <w:t>Target by 2029</w:t>
            </w:r>
          </w:p>
        </w:tc>
        <w:tc>
          <w:tcPr>
            <w:tcW w:w="3193" w:type="dxa"/>
            <w:tcBorders>
              <w:bottom w:val="none" w:sz="0" w:space="0" w:color="auto"/>
            </w:tcBorders>
          </w:tcPr>
          <w:p w14:paraId="47C0879E" w14:textId="77777777" w:rsidR="005364AA" w:rsidRDefault="008F3197">
            <w:pPr>
              <w:pStyle w:val="Compact"/>
            </w:pPr>
            <w:r>
              <w:t>How measured</w:t>
            </w:r>
          </w:p>
        </w:tc>
      </w:tr>
      <w:tr w:rsidR="005364AA" w14:paraId="202C294F" w14:textId="77777777" w:rsidTr="000423D9">
        <w:tc>
          <w:tcPr>
            <w:tcW w:w="2508" w:type="dxa"/>
          </w:tcPr>
          <w:p w14:paraId="1695FBB2" w14:textId="77777777" w:rsidR="005364AA" w:rsidRDefault="008F3197">
            <w:pPr>
              <w:pStyle w:val="Compact"/>
            </w:pPr>
            <w:r>
              <w:t>Funding diversity</w:t>
            </w:r>
          </w:p>
        </w:tc>
        <w:tc>
          <w:tcPr>
            <w:tcW w:w="3649" w:type="dxa"/>
          </w:tcPr>
          <w:p w14:paraId="12E5A446" w14:textId="77777777" w:rsidR="005364AA" w:rsidRDefault="008F3197">
            <w:pPr>
              <w:pStyle w:val="Compact"/>
            </w:pPr>
            <w:r>
              <w:t>3+ new sources; &lt;40% from any one</w:t>
            </w:r>
          </w:p>
        </w:tc>
        <w:tc>
          <w:tcPr>
            <w:tcW w:w="3193" w:type="dxa"/>
          </w:tcPr>
          <w:p w14:paraId="0EDBC549" w14:textId="77777777" w:rsidR="005364AA" w:rsidRDefault="008F3197">
            <w:pPr>
              <w:pStyle w:val="Compact"/>
            </w:pPr>
            <w:r>
              <w:t>Financial statements</w:t>
            </w:r>
          </w:p>
        </w:tc>
      </w:tr>
      <w:tr w:rsidR="005364AA" w14:paraId="2B1AEE52" w14:textId="77777777" w:rsidTr="000423D9">
        <w:tc>
          <w:tcPr>
            <w:tcW w:w="2508" w:type="dxa"/>
          </w:tcPr>
          <w:p w14:paraId="5939807B" w14:textId="77777777" w:rsidR="005364AA" w:rsidRDefault="008F3197">
            <w:pPr>
              <w:pStyle w:val="Compact"/>
            </w:pPr>
            <w:r>
              <w:t>Governance audit</w:t>
            </w:r>
          </w:p>
        </w:tc>
        <w:tc>
          <w:tcPr>
            <w:tcW w:w="3649" w:type="dxa"/>
          </w:tcPr>
          <w:p w14:paraId="0E02E526" w14:textId="77777777" w:rsidR="005364AA" w:rsidRDefault="008F3197">
            <w:pPr>
              <w:pStyle w:val="Compact"/>
            </w:pPr>
            <w:r>
              <w:t>Annual audit; 100% Board training</w:t>
            </w:r>
          </w:p>
        </w:tc>
        <w:tc>
          <w:tcPr>
            <w:tcW w:w="3193" w:type="dxa"/>
          </w:tcPr>
          <w:p w14:paraId="201D9CF4" w14:textId="77777777" w:rsidR="005364AA" w:rsidRDefault="008F3197">
            <w:pPr>
              <w:pStyle w:val="Compact"/>
            </w:pPr>
            <w:r>
              <w:t>Audit reports; training records</w:t>
            </w:r>
          </w:p>
        </w:tc>
      </w:tr>
      <w:tr w:rsidR="005364AA" w14:paraId="6B9A3855" w14:textId="77777777" w:rsidTr="000423D9">
        <w:tc>
          <w:tcPr>
            <w:tcW w:w="2508" w:type="dxa"/>
          </w:tcPr>
          <w:p w14:paraId="433583AD" w14:textId="77777777" w:rsidR="005364AA" w:rsidRDefault="008F3197">
            <w:pPr>
              <w:pStyle w:val="Compact"/>
            </w:pPr>
            <w:r>
              <w:lastRenderedPageBreak/>
              <w:t>Board KPIs</w:t>
            </w:r>
          </w:p>
        </w:tc>
        <w:tc>
          <w:tcPr>
            <w:tcW w:w="3649" w:type="dxa"/>
          </w:tcPr>
          <w:p w14:paraId="77094D0D" w14:textId="51D9A7DE" w:rsidR="005364AA" w:rsidRDefault="008F3197">
            <w:pPr>
              <w:pStyle w:val="Compact"/>
            </w:pPr>
            <w:r>
              <w:t xml:space="preserve">4+ meetings annually; </w:t>
            </w:r>
            <w:r w:rsidR="00235AF8">
              <w:t>75</w:t>
            </w:r>
            <w:r>
              <w:t>%+ attendance</w:t>
            </w:r>
            <w:r w:rsidR="00235AF8">
              <w:t xml:space="preserve"> incl. 1 </w:t>
            </w:r>
            <w:r w:rsidR="00CE7BD2">
              <w:t>compulsory annual face to face meeting</w:t>
            </w:r>
          </w:p>
        </w:tc>
        <w:tc>
          <w:tcPr>
            <w:tcW w:w="3193" w:type="dxa"/>
          </w:tcPr>
          <w:p w14:paraId="3ADDD752" w14:textId="77777777" w:rsidR="005364AA" w:rsidRDefault="008F3197">
            <w:pPr>
              <w:pStyle w:val="Compact"/>
            </w:pPr>
            <w:r>
              <w:t>Meeting records</w:t>
            </w:r>
          </w:p>
        </w:tc>
      </w:tr>
      <w:tr w:rsidR="005364AA" w14:paraId="74DA5FEC" w14:textId="77777777" w:rsidTr="000423D9">
        <w:tc>
          <w:tcPr>
            <w:tcW w:w="2508" w:type="dxa"/>
          </w:tcPr>
          <w:p w14:paraId="16700307" w14:textId="77777777" w:rsidR="005364AA" w:rsidRDefault="008F3197">
            <w:pPr>
              <w:pStyle w:val="Compact"/>
            </w:pPr>
            <w:r>
              <w:t>Annual impact measurement</w:t>
            </w:r>
          </w:p>
        </w:tc>
        <w:tc>
          <w:tcPr>
            <w:tcW w:w="3649" w:type="dxa"/>
          </w:tcPr>
          <w:p w14:paraId="6230D79E" w14:textId="77777777" w:rsidR="005364AA" w:rsidRDefault="008F3197">
            <w:pPr>
              <w:pStyle w:val="Compact"/>
            </w:pPr>
            <w:r>
              <w:t>Yearly review</w:t>
            </w:r>
          </w:p>
        </w:tc>
        <w:tc>
          <w:tcPr>
            <w:tcW w:w="3193" w:type="dxa"/>
          </w:tcPr>
          <w:p w14:paraId="06CCAB75" w14:textId="77777777" w:rsidR="005364AA" w:rsidRDefault="008F3197">
            <w:pPr>
              <w:pStyle w:val="Compact"/>
            </w:pPr>
            <w:r>
              <w:t>AGM &amp; Annual Reports</w:t>
            </w:r>
          </w:p>
        </w:tc>
      </w:tr>
      <w:tr w:rsidR="000423D9" w14:paraId="385F3659" w14:textId="77777777" w:rsidTr="000423D9">
        <w:tc>
          <w:tcPr>
            <w:tcW w:w="2508" w:type="dxa"/>
          </w:tcPr>
          <w:p w14:paraId="30073F8D" w14:textId="14847F1A" w:rsidR="000423D9" w:rsidRDefault="000423D9">
            <w:pPr>
              <w:pStyle w:val="Compact"/>
            </w:pPr>
            <w:r>
              <w:t>Compliance</w:t>
            </w:r>
          </w:p>
        </w:tc>
        <w:tc>
          <w:tcPr>
            <w:tcW w:w="3649" w:type="dxa"/>
          </w:tcPr>
          <w:p w14:paraId="211DC783" w14:textId="4F0F5B7F" w:rsidR="000423D9" w:rsidRDefault="00E363CA">
            <w:pPr>
              <w:pStyle w:val="Compact"/>
            </w:pPr>
            <w:r>
              <w:t xml:space="preserve">Yearly </w:t>
            </w:r>
            <w:r w:rsidR="00E4235B">
              <w:t>review</w:t>
            </w:r>
          </w:p>
        </w:tc>
        <w:tc>
          <w:tcPr>
            <w:tcW w:w="3193" w:type="dxa"/>
          </w:tcPr>
          <w:p w14:paraId="0E7BA46A" w14:textId="7D44B087" w:rsidR="000423D9" w:rsidRDefault="00E4235B">
            <w:pPr>
              <w:pStyle w:val="Compact"/>
            </w:pPr>
            <w:r>
              <w:t>CRO &amp; Charity Regulator reporting</w:t>
            </w:r>
          </w:p>
        </w:tc>
      </w:tr>
    </w:tbl>
    <w:p w14:paraId="789ED851" w14:textId="77777777" w:rsidR="005364AA" w:rsidRDefault="007A5922">
      <w:r>
        <w:pict w14:anchorId="2E39B64A">
          <v:rect id="_x0000_i1034" style="width:0;height:1.5pt" o:hralign="center" o:hrstd="t" o:hr="t"/>
        </w:pict>
      </w:r>
    </w:p>
    <w:p w14:paraId="00DD97BC" w14:textId="77777777" w:rsidR="005364AA" w:rsidRDefault="008F3197">
      <w:pPr>
        <w:pStyle w:val="Heading2"/>
      </w:pPr>
      <w:bookmarkStart w:id="28" w:name="implementation-roadmap"/>
      <w:bookmarkEnd w:id="11"/>
      <w:bookmarkEnd w:id="24"/>
      <w:bookmarkEnd w:id="27"/>
      <w:r>
        <w:t>4. Implementation Roadmap</w:t>
      </w:r>
    </w:p>
    <w:p w14:paraId="5012C7F6" w14:textId="77777777" w:rsidR="005364AA" w:rsidRDefault="008F3197">
      <w:pPr>
        <w:pStyle w:val="FirstParagraph"/>
      </w:pPr>
      <w:r>
        <w:t>We adopt a phased, realistic approach, recognising our capacity constraints. This roadmap prioritises sequencing and builds momentum over time.</w:t>
      </w:r>
    </w:p>
    <w:p w14:paraId="7B8DF8D7" w14:textId="77777777" w:rsidR="005364AA" w:rsidRDefault="008F3197">
      <w:pPr>
        <w:pStyle w:val="Heading3"/>
      </w:pPr>
      <w:bookmarkStart w:id="29" w:name="phase-1-foundation-consolidation"/>
      <w:r>
        <w:t>Phase 1: Foundation &amp; Consolidation</w:t>
      </w:r>
    </w:p>
    <w:p w14:paraId="1090388F" w14:textId="77777777" w:rsidR="005364AA" w:rsidRDefault="008F3197">
      <w:pPr>
        <w:pStyle w:val="Compact"/>
        <w:numPr>
          <w:ilvl w:val="0"/>
          <w:numId w:val="6"/>
        </w:numPr>
      </w:pPr>
      <w:r>
        <w:t>Embed new CEO leadership culture</w:t>
      </w:r>
    </w:p>
    <w:p w14:paraId="07D68185" w14:textId="77777777" w:rsidR="005364AA" w:rsidRDefault="008F3197">
      <w:pPr>
        <w:pStyle w:val="Compact"/>
        <w:numPr>
          <w:ilvl w:val="0"/>
          <w:numId w:val="6"/>
        </w:numPr>
      </w:pPr>
      <w:r>
        <w:t>Actively monitor policy legislation and consultations</w:t>
      </w:r>
    </w:p>
    <w:p w14:paraId="4B338E4D" w14:textId="77777777" w:rsidR="005364AA" w:rsidRDefault="008F3197">
      <w:pPr>
        <w:pStyle w:val="Compact"/>
        <w:numPr>
          <w:ilvl w:val="0"/>
          <w:numId w:val="6"/>
        </w:numPr>
      </w:pPr>
      <w:r>
        <w:t>Begin funding diversification</w:t>
      </w:r>
    </w:p>
    <w:p w14:paraId="13E708A7" w14:textId="77777777" w:rsidR="005364AA" w:rsidRDefault="008F3197">
      <w:pPr>
        <w:pStyle w:val="Compact"/>
        <w:numPr>
          <w:ilvl w:val="0"/>
          <w:numId w:val="6"/>
        </w:numPr>
      </w:pPr>
      <w:r>
        <w:t>Streamline membership system</w:t>
      </w:r>
    </w:p>
    <w:p w14:paraId="214398A1" w14:textId="77777777" w:rsidR="005364AA" w:rsidRDefault="008F3197">
      <w:pPr>
        <w:pStyle w:val="Compact"/>
        <w:numPr>
          <w:ilvl w:val="0"/>
          <w:numId w:val="6"/>
        </w:numPr>
      </w:pPr>
      <w:r>
        <w:t>Launch governance audit</w:t>
      </w:r>
    </w:p>
    <w:p w14:paraId="3943278A" w14:textId="77777777" w:rsidR="005364AA" w:rsidRDefault="008F3197">
      <w:pPr>
        <w:pStyle w:val="Compact"/>
        <w:numPr>
          <w:ilvl w:val="0"/>
          <w:numId w:val="6"/>
        </w:numPr>
      </w:pPr>
      <w:r>
        <w:t>Design member engagement dashboard</w:t>
      </w:r>
    </w:p>
    <w:p w14:paraId="10CF8493" w14:textId="77777777" w:rsidR="005364AA" w:rsidRDefault="008F3197">
      <w:pPr>
        <w:pStyle w:val="Compact"/>
        <w:numPr>
          <w:ilvl w:val="0"/>
          <w:numId w:val="6"/>
        </w:numPr>
      </w:pPr>
      <w:r>
        <w:t>Launch awareness campaign</w:t>
      </w:r>
    </w:p>
    <w:p w14:paraId="041DBA0C" w14:textId="77777777" w:rsidR="005364AA" w:rsidRDefault="008F3197">
      <w:pPr>
        <w:pStyle w:val="Heading3"/>
      </w:pPr>
      <w:bookmarkStart w:id="30" w:name="phase-2-innovation-growth"/>
      <w:bookmarkEnd w:id="29"/>
      <w:r>
        <w:t>Phase 2: Innovation &amp; Growth</w:t>
      </w:r>
    </w:p>
    <w:p w14:paraId="03770C25" w14:textId="77777777" w:rsidR="005364AA" w:rsidRDefault="008F3197">
      <w:pPr>
        <w:pStyle w:val="Compact"/>
        <w:numPr>
          <w:ilvl w:val="0"/>
          <w:numId w:val="7"/>
        </w:numPr>
      </w:pPr>
      <w:r>
        <w:t>Introduce innovation labs and mentorship</w:t>
      </w:r>
    </w:p>
    <w:p w14:paraId="363F1C35" w14:textId="77777777" w:rsidR="005364AA" w:rsidRDefault="008F3197">
      <w:pPr>
        <w:pStyle w:val="Compact"/>
        <w:numPr>
          <w:ilvl w:val="0"/>
          <w:numId w:val="7"/>
        </w:numPr>
      </w:pPr>
      <w:r>
        <w:t>Expand communications and video content</w:t>
      </w:r>
    </w:p>
    <w:p w14:paraId="2E29F55F" w14:textId="77777777" w:rsidR="005364AA" w:rsidRDefault="008F3197">
      <w:pPr>
        <w:pStyle w:val="Compact"/>
        <w:numPr>
          <w:ilvl w:val="0"/>
          <w:numId w:val="7"/>
        </w:numPr>
      </w:pPr>
      <w:r>
        <w:t>Continue Sláintecare collaboration</w:t>
      </w:r>
    </w:p>
    <w:p w14:paraId="1AB7085E" w14:textId="77777777" w:rsidR="005364AA" w:rsidRDefault="008F3197">
      <w:pPr>
        <w:pStyle w:val="Compact"/>
        <w:numPr>
          <w:ilvl w:val="0"/>
          <w:numId w:val="7"/>
        </w:numPr>
      </w:pPr>
      <w:r>
        <w:t>Sustain awareness campaign</w:t>
      </w:r>
    </w:p>
    <w:p w14:paraId="7AC8C33B" w14:textId="77777777" w:rsidR="005364AA" w:rsidRDefault="008F3197">
      <w:pPr>
        <w:pStyle w:val="Heading3"/>
      </w:pPr>
      <w:bookmarkStart w:id="31" w:name="phase-3-sustainability-leadership"/>
      <w:bookmarkEnd w:id="30"/>
      <w:r>
        <w:t>Phase 3: Sustainability &amp; Leadership</w:t>
      </w:r>
    </w:p>
    <w:p w14:paraId="02F69A69" w14:textId="77777777" w:rsidR="005364AA" w:rsidRDefault="008F3197">
      <w:pPr>
        <w:pStyle w:val="Compact"/>
        <w:numPr>
          <w:ilvl w:val="0"/>
          <w:numId w:val="8"/>
        </w:numPr>
      </w:pPr>
      <w:r>
        <w:t>Achieve financial sustainability</w:t>
      </w:r>
    </w:p>
    <w:p w14:paraId="498E57E1" w14:textId="77777777" w:rsidR="005364AA" w:rsidRDefault="008F3197">
      <w:pPr>
        <w:pStyle w:val="Compact"/>
        <w:numPr>
          <w:ilvl w:val="0"/>
          <w:numId w:val="8"/>
        </w:numPr>
      </w:pPr>
      <w:r>
        <w:t>Establish Board leadership succession plan</w:t>
      </w:r>
    </w:p>
    <w:p w14:paraId="74CE333F" w14:textId="77777777" w:rsidR="005364AA" w:rsidRDefault="008F3197">
      <w:pPr>
        <w:pStyle w:val="Compact"/>
        <w:numPr>
          <w:ilvl w:val="0"/>
          <w:numId w:val="8"/>
        </w:numPr>
      </w:pPr>
      <w:r>
        <w:t>Scale impact measurement</w:t>
      </w:r>
    </w:p>
    <w:p w14:paraId="2590E6EF" w14:textId="77777777" w:rsidR="005364AA" w:rsidRDefault="008F3197">
      <w:pPr>
        <w:pStyle w:val="Compact"/>
        <w:numPr>
          <w:ilvl w:val="0"/>
          <w:numId w:val="8"/>
        </w:numPr>
      </w:pPr>
      <w:r>
        <w:t>Prepare strategic plan 2029-2032</w:t>
      </w:r>
    </w:p>
    <w:p w14:paraId="42F819CB" w14:textId="77777777" w:rsidR="005364AA" w:rsidRDefault="007A5922">
      <w:r>
        <w:pict w14:anchorId="771308B9">
          <v:rect id="_x0000_i1035" style="width:0;height:1.5pt" o:hralign="center" o:hrstd="t" o:hr="t"/>
        </w:pict>
      </w:r>
    </w:p>
    <w:p w14:paraId="430258B6" w14:textId="77777777" w:rsidR="005364AA" w:rsidRDefault="008F3197">
      <w:pPr>
        <w:pStyle w:val="Heading2"/>
      </w:pPr>
      <w:bookmarkStart w:id="32" w:name="governance-critical-success-factors"/>
      <w:bookmarkEnd w:id="28"/>
      <w:bookmarkEnd w:id="31"/>
      <w:r>
        <w:lastRenderedPageBreak/>
        <w:t>5. Governance &amp; Critical Success Factors</w:t>
      </w:r>
    </w:p>
    <w:p w14:paraId="4C122166" w14:textId="77777777" w:rsidR="005364AA" w:rsidRDefault="008F3197">
      <w:pPr>
        <w:pStyle w:val="Heading3"/>
      </w:pPr>
      <w:bookmarkStart w:id="33" w:name="board-oversight-the-board-will"/>
      <w:r>
        <w:t>Board oversight – The Board will:</w:t>
      </w:r>
    </w:p>
    <w:p w14:paraId="6E981361" w14:textId="77777777" w:rsidR="005364AA" w:rsidRDefault="008F3197">
      <w:pPr>
        <w:pStyle w:val="Compact"/>
        <w:numPr>
          <w:ilvl w:val="0"/>
          <w:numId w:val="9"/>
        </w:numPr>
      </w:pPr>
      <w:r>
        <w:t>Hold four Board meetings annually to review progress</w:t>
      </w:r>
    </w:p>
    <w:p w14:paraId="5B2C5B76" w14:textId="77777777" w:rsidR="005364AA" w:rsidRDefault="008F3197">
      <w:pPr>
        <w:pStyle w:val="Compact"/>
        <w:numPr>
          <w:ilvl w:val="0"/>
          <w:numId w:val="9"/>
        </w:numPr>
      </w:pPr>
      <w:r>
        <w:t>Conduct annual governance audit</w:t>
      </w:r>
    </w:p>
    <w:p w14:paraId="4FBD9502" w14:textId="77777777" w:rsidR="005364AA" w:rsidRDefault="008F3197">
      <w:pPr>
        <w:pStyle w:val="Compact"/>
        <w:numPr>
          <w:ilvl w:val="0"/>
          <w:numId w:val="9"/>
        </w:numPr>
      </w:pPr>
      <w:r>
        <w:t>Review annual strategic reports</w:t>
      </w:r>
    </w:p>
    <w:p w14:paraId="370A5115" w14:textId="77777777" w:rsidR="005364AA" w:rsidRDefault="008F3197">
      <w:pPr>
        <w:pStyle w:val="Compact"/>
        <w:numPr>
          <w:ilvl w:val="0"/>
          <w:numId w:val="9"/>
        </w:numPr>
      </w:pPr>
      <w:r>
        <w:t>Engage in quarterly strategic monitoring and planning sessions</w:t>
      </w:r>
    </w:p>
    <w:p w14:paraId="21D566ED" w14:textId="77777777" w:rsidR="005364AA" w:rsidRDefault="008F3197">
      <w:pPr>
        <w:pStyle w:val="Heading3"/>
      </w:pPr>
      <w:bookmarkStart w:id="34" w:name="X8a4a0bdd970cdd8863f409311c12112f415c3ee"/>
      <w:bookmarkEnd w:id="33"/>
      <w:r>
        <w:t>Staff capacity – With small staff team, we will:</w:t>
      </w:r>
    </w:p>
    <w:p w14:paraId="12DA52D7" w14:textId="77777777" w:rsidR="005364AA" w:rsidRDefault="008F3197">
      <w:pPr>
        <w:pStyle w:val="Compact"/>
        <w:numPr>
          <w:ilvl w:val="0"/>
          <w:numId w:val="10"/>
        </w:numPr>
      </w:pPr>
      <w:r>
        <w:t>Develop annual aligned workplans</w:t>
      </w:r>
    </w:p>
    <w:p w14:paraId="5CA8B32F" w14:textId="77777777" w:rsidR="005364AA" w:rsidRDefault="008F3197">
      <w:pPr>
        <w:pStyle w:val="Compact"/>
        <w:numPr>
          <w:ilvl w:val="0"/>
          <w:numId w:val="10"/>
        </w:numPr>
      </w:pPr>
      <w:r>
        <w:t>Invest in professional development</w:t>
      </w:r>
    </w:p>
    <w:p w14:paraId="4EEEEAF0" w14:textId="77777777" w:rsidR="005364AA" w:rsidRDefault="008F3197">
      <w:pPr>
        <w:pStyle w:val="Compact"/>
        <w:numPr>
          <w:ilvl w:val="0"/>
          <w:numId w:val="10"/>
        </w:numPr>
      </w:pPr>
      <w:r>
        <w:t>Build partnership capacity with members and volunteers</w:t>
      </w:r>
    </w:p>
    <w:p w14:paraId="3EB7E35C" w14:textId="77777777" w:rsidR="005364AA" w:rsidRDefault="008F3197">
      <w:pPr>
        <w:pStyle w:val="Compact"/>
        <w:numPr>
          <w:ilvl w:val="0"/>
          <w:numId w:val="10"/>
        </w:numPr>
      </w:pPr>
      <w:r>
        <w:t>Review staffing model annually</w:t>
      </w:r>
    </w:p>
    <w:p w14:paraId="2F9A2906" w14:textId="77777777" w:rsidR="005364AA" w:rsidRDefault="008F3197">
      <w:pPr>
        <w:pStyle w:val="Heading3"/>
      </w:pPr>
      <w:bookmarkStart w:id="35" w:name="X72e9f7e7471d6ec05d7ecdb089ec40b86d75ecd"/>
      <w:bookmarkEnd w:id="34"/>
      <w:r>
        <w:t>Critical success factors – This strategy succeeds through:</w:t>
      </w:r>
    </w:p>
    <w:p w14:paraId="48249489" w14:textId="77777777" w:rsidR="005364AA" w:rsidRDefault="008F3197">
      <w:pPr>
        <w:pStyle w:val="Compact"/>
        <w:numPr>
          <w:ilvl w:val="0"/>
          <w:numId w:val="11"/>
        </w:numPr>
      </w:pPr>
      <w:r>
        <w:t>Strong Board, CEO and staff alignment</w:t>
      </w:r>
    </w:p>
    <w:p w14:paraId="3E631EF1" w14:textId="77777777" w:rsidR="005364AA" w:rsidRDefault="008F3197">
      <w:pPr>
        <w:pStyle w:val="Compact"/>
        <w:numPr>
          <w:ilvl w:val="0"/>
          <w:numId w:val="11"/>
        </w:numPr>
      </w:pPr>
      <w:r>
        <w:t>Securing diversified funding</w:t>
      </w:r>
    </w:p>
    <w:p w14:paraId="7BA6CEDA" w14:textId="77777777" w:rsidR="005364AA" w:rsidRDefault="008F3197">
      <w:pPr>
        <w:pStyle w:val="Compact"/>
        <w:numPr>
          <w:ilvl w:val="0"/>
          <w:numId w:val="11"/>
        </w:numPr>
      </w:pPr>
      <w:r>
        <w:t>Active member engagement</w:t>
      </w:r>
    </w:p>
    <w:p w14:paraId="495A7017" w14:textId="77777777" w:rsidR="005364AA" w:rsidRDefault="008F3197">
      <w:pPr>
        <w:pStyle w:val="Compact"/>
        <w:numPr>
          <w:ilvl w:val="0"/>
          <w:numId w:val="11"/>
        </w:numPr>
      </w:pPr>
      <w:r>
        <w:t>Realistic sequencing of initiatives</w:t>
      </w:r>
    </w:p>
    <w:p w14:paraId="2D8AF59A" w14:textId="77777777" w:rsidR="005364AA" w:rsidRDefault="008F3197">
      <w:pPr>
        <w:pStyle w:val="Compact"/>
        <w:numPr>
          <w:ilvl w:val="0"/>
          <w:numId w:val="11"/>
        </w:numPr>
      </w:pPr>
      <w:r>
        <w:t>Willingness to learn, adapt and adjust</w:t>
      </w:r>
    </w:p>
    <w:p w14:paraId="46FCE737" w14:textId="77777777" w:rsidR="005364AA" w:rsidRDefault="007A5922">
      <w:r>
        <w:pict w14:anchorId="3042AB3A">
          <v:rect id="_x0000_i1036" style="width:0;height:1.5pt" o:hralign="center" o:hrstd="t" o:hr="t"/>
        </w:pict>
      </w:r>
    </w:p>
    <w:p w14:paraId="6F3F13C0" w14:textId="77777777" w:rsidR="005364AA" w:rsidRDefault="008F3197">
      <w:pPr>
        <w:pStyle w:val="Heading2"/>
      </w:pPr>
      <w:bookmarkStart w:id="36" w:name="key-assumptions-risks"/>
      <w:bookmarkEnd w:id="32"/>
      <w:bookmarkEnd w:id="35"/>
      <w:r>
        <w:t>6. Key Assumptions &amp; Risks</w:t>
      </w:r>
    </w:p>
    <w:p w14:paraId="61E5A6BB" w14:textId="77777777" w:rsidR="005364AA" w:rsidRDefault="008F3197">
      <w:pPr>
        <w:pStyle w:val="Heading3"/>
      </w:pPr>
      <w:bookmarkStart w:id="37" w:name="key-assumptions"/>
      <w:r>
        <w:t>Key assumptions</w:t>
      </w:r>
    </w:p>
    <w:p w14:paraId="423A490C" w14:textId="77777777" w:rsidR="005364AA" w:rsidRDefault="008F3197">
      <w:pPr>
        <w:pStyle w:val="FirstParagraph"/>
      </w:pPr>
      <w:r>
        <w:t>This plan assumes: - POBAL funding continues and supports IAPC to seek additional diversified sources - Board remains stable and volunteers committed - Health system reforms create opportunities for palliative care - Member engagement continues to grow</w:t>
      </w:r>
    </w:p>
    <w:p w14:paraId="51112787" w14:textId="77777777" w:rsidR="005364AA" w:rsidRDefault="008F3197">
      <w:pPr>
        <w:pStyle w:val="Heading3"/>
      </w:pPr>
      <w:bookmarkStart w:id="38" w:name="key-risks-and-mitigations"/>
      <w:bookmarkEnd w:id="37"/>
      <w:r>
        <w:t>Key risks and mitigations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0"/>
        <w:gridCol w:w="3751"/>
        <w:gridCol w:w="3619"/>
      </w:tblGrid>
      <w:tr w:rsidR="005364AA" w14:paraId="3AD0DF41" w14:textId="77777777" w:rsidTr="00280A72">
        <w:trPr>
          <w:cnfStyle w:val="100000000000" w:firstRow="1" w:lastRow="0" w:firstColumn="0" w:lastColumn="0" w:oddVBand="0" w:evenVBand="0" w:oddHBand="0" w:evenHBand="0" w:firstRowFirstColumn="0" w:firstRowLastColumn="0" w:lastRowFirstColumn="0" w:lastRowLastColumn="0"/>
          <w:tblHeader/>
        </w:trPr>
        <w:tc>
          <w:tcPr>
            <w:tcW w:w="1980" w:type="dxa"/>
            <w:tcBorders>
              <w:bottom w:val="none" w:sz="0" w:space="0" w:color="auto"/>
            </w:tcBorders>
          </w:tcPr>
          <w:p w14:paraId="1A263B8A" w14:textId="77777777" w:rsidR="005364AA" w:rsidRDefault="008F3197">
            <w:pPr>
              <w:pStyle w:val="Compact"/>
            </w:pPr>
            <w:r>
              <w:t>Risk</w:t>
            </w:r>
          </w:p>
        </w:tc>
        <w:tc>
          <w:tcPr>
            <w:tcW w:w="3751" w:type="dxa"/>
            <w:tcBorders>
              <w:bottom w:val="none" w:sz="0" w:space="0" w:color="auto"/>
            </w:tcBorders>
          </w:tcPr>
          <w:p w14:paraId="47C6DA46" w14:textId="77777777" w:rsidR="005364AA" w:rsidRDefault="008F3197">
            <w:pPr>
              <w:pStyle w:val="Compact"/>
            </w:pPr>
            <w:r>
              <w:t>Consequence</w:t>
            </w:r>
          </w:p>
        </w:tc>
        <w:tc>
          <w:tcPr>
            <w:tcW w:w="3619" w:type="dxa"/>
            <w:tcBorders>
              <w:bottom w:val="none" w:sz="0" w:space="0" w:color="auto"/>
            </w:tcBorders>
          </w:tcPr>
          <w:p w14:paraId="32B091A9" w14:textId="77777777" w:rsidR="005364AA" w:rsidRDefault="008F3197">
            <w:pPr>
              <w:pStyle w:val="Compact"/>
            </w:pPr>
            <w:r>
              <w:t>Mitigation</w:t>
            </w:r>
          </w:p>
        </w:tc>
      </w:tr>
      <w:tr w:rsidR="005364AA" w14:paraId="6E3CFB67" w14:textId="77777777" w:rsidTr="00280A72">
        <w:tc>
          <w:tcPr>
            <w:tcW w:w="1980" w:type="dxa"/>
          </w:tcPr>
          <w:p w14:paraId="7A1198CD" w14:textId="77777777" w:rsidR="005364AA" w:rsidRDefault="008F3197">
            <w:pPr>
              <w:pStyle w:val="Compact"/>
            </w:pPr>
            <w:r>
              <w:t>Funding gap</w:t>
            </w:r>
          </w:p>
        </w:tc>
        <w:tc>
          <w:tcPr>
            <w:tcW w:w="3751" w:type="dxa"/>
          </w:tcPr>
          <w:p w14:paraId="101FE8A9" w14:textId="77777777" w:rsidR="005364AA" w:rsidRDefault="008F3197">
            <w:pPr>
              <w:pStyle w:val="Compact"/>
            </w:pPr>
            <w:r>
              <w:t>Staff capacity reduced; initiatives paused</w:t>
            </w:r>
          </w:p>
        </w:tc>
        <w:tc>
          <w:tcPr>
            <w:tcW w:w="3619" w:type="dxa"/>
          </w:tcPr>
          <w:p w14:paraId="332D5C5C" w14:textId="77777777" w:rsidR="005364AA" w:rsidRDefault="008F3197">
            <w:pPr>
              <w:pStyle w:val="Compact"/>
            </w:pPr>
            <w:r>
              <w:t>Diversification strategy; multiple applications; contingency planning</w:t>
            </w:r>
          </w:p>
        </w:tc>
      </w:tr>
      <w:tr w:rsidR="005364AA" w14:paraId="14F93282" w14:textId="77777777" w:rsidTr="00280A72">
        <w:tc>
          <w:tcPr>
            <w:tcW w:w="1980" w:type="dxa"/>
          </w:tcPr>
          <w:p w14:paraId="34859149" w14:textId="77777777" w:rsidR="005364AA" w:rsidRDefault="008F3197">
            <w:pPr>
              <w:pStyle w:val="Compact"/>
            </w:pPr>
            <w:r>
              <w:t>Staff burnout</w:t>
            </w:r>
          </w:p>
        </w:tc>
        <w:tc>
          <w:tcPr>
            <w:tcW w:w="3751" w:type="dxa"/>
          </w:tcPr>
          <w:p w14:paraId="03236288" w14:textId="77777777" w:rsidR="005364AA" w:rsidRDefault="008F3197">
            <w:pPr>
              <w:pStyle w:val="Compact"/>
            </w:pPr>
            <w:r>
              <w:t>Key staff loss; disruption</w:t>
            </w:r>
          </w:p>
        </w:tc>
        <w:tc>
          <w:tcPr>
            <w:tcW w:w="3619" w:type="dxa"/>
          </w:tcPr>
          <w:p w14:paraId="7F87BA0B" w14:textId="77777777" w:rsidR="005364AA" w:rsidRDefault="008F3197">
            <w:pPr>
              <w:pStyle w:val="Compact"/>
            </w:pPr>
            <w:r>
              <w:t>Realistic work planning; volunteer support; professional development</w:t>
            </w:r>
          </w:p>
        </w:tc>
      </w:tr>
      <w:tr w:rsidR="005364AA" w14:paraId="6A0BF39D" w14:textId="77777777" w:rsidTr="00280A72">
        <w:tc>
          <w:tcPr>
            <w:tcW w:w="1980" w:type="dxa"/>
          </w:tcPr>
          <w:p w14:paraId="37136F08" w14:textId="77777777" w:rsidR="005364AA" w:rsidRDefault="008F3197">
            <w:pPr>
              <w:pStyle w:val="Compact"/>
            </w:pPr>
            <w:r>
              <w:t>Board disengagement</w:t>
            </w:r>
          </w:p>
        </w:tc>
        <w:tc>
          <w:tcPr>
            <w:tcW w:w="3751" w:type="dxa"/>
          </w:tcPr>
          <w:p w14:paraId="7F975C85" w14:textId="77777777" w:rsidR="005364AA" w:rsidRDefault="008F3197">
            <w:pPr>
              <w:pStyle w:val="Compact"/>
            </w:pPr>
            <w:r>
              <w:t>Weak governance; strategic drift</w:t>
            </w:r>
          </w:p>
        </w:tc>
        <w:tc>
          <w:tcPr>
            <w:tcW w:w="3619" w:type="dxa"/>
          </w:tcPr>
          <w:p w14:paraId="6CC5599E" w14:textId="77777777" w:rsidR="005364AA" w:rsidRDefault="008F3197">
            <w:pPr>
              <w:pStyle w:val="Compact"/>
            </w:pPr>
            <w:r>
              <w:t>Board development plan; clear roles; strategic engagement; succession planning</w:t>
            </w:r>
          </w:p>
        </w:tc>
      </w:tr>
      <w:tr w:rsidR="005364AA" w14:paraId="6F1272D3" w14:textId="77777777" w:rsidTr="00280A72">
        <w:tc>
          <w:tcPr>
            <w:tcW w:w="1980" w:type="dxa"/>
          </w:tcPr>
          <w:p w14:paraId="678DB98E" w14:textId="77777777" w:rsidR="005364AA" w:rsidRDefault="008F3197">
            <w:pPr>
              <w:pStyle w:val="Compact"/>
            </w:pPr>
            <w:r>
              <w:lastRenderedPageBreak/>
              <w:t>Member engagement wanes</w:t>
            </w:r>
          </w:p>
        </w:tc>
        <w:tc>
          <w:tcPr>
            <w:tcW w:w="3751" w:type="dxa"/>
          </w:tcPr>
          <w:p w14:paraId="43146F87" w14:textId="77777777" w:rsidR="005364AA" w:rsidRDefault="008F3197">
            <w:pPr>
              <w:pStyle w:val="Compact"/>
            </w:pPr>
            <w:r>
              <w:t>Membership stagnation; reduced impact</w:t>
            </w:r>
          </w:p>
        </w:tc>
        <w:tc>
          <w:tcPr>
            <w:tcW w:w="3619" w:type="dxa"/>
          </w:tcPr>
          <w:p w14:paraId="020759F3" w14:textId="77777777" w:rsidR="005364AA" w:rsidRDefault="008F3197">
            <w:pPr>
              <w:pStyle w:val="Compact"/>
            </w:pPr>
            <w:r>
              <w:t>Annual surveys; responsive comms; mentorship programmes; innovation labs</w:t>
            </w:r>
          </w:p>
        </w:tc>
      </w:tr>
    </w:tbl>
    <w:p w14:paraId="31CC07A9" w14:textId="77777777" w:rsidR="005364AA" w:rsidRDefault="007A5922">
      <w:r>
        <w:pict w14:anchorId="08AF9A07">
          <v:rect id="_x0000_i1037" style="width:0;height:1.5pt" o:hralign="center" o:hrstd="t" o:hr="t"/>
        </w:pict>
      </w:r>
    </w:p>
    <w:p w14:paraId="7B4EA44D" w14:textId="77777777" w:rsidR="005364AA" w:rsidRDefault="008F3197">
      <w:pPr>
        <w:pStyle w:val="Heading2"/>
      </w:pPr>
      <w:bookmarkStart w:id="39" w:name="conclusion"/>
      <w:bookmarkEnd w:id="36"/>
      <w:bookmarkEnd w:id="38"/>
      <w:r>
        <w:t>7. Conclusion</w:t>
      </w:r>
    </w:p>
    <w:p w14:paraId="130209DF" w14:textId="77777777" w:rsidR="005364AA" w:rsidRDefault="008F3197">
      <w:pPr>
        <w:pStyle w:val="FirstParagraph"/>
      </w:pPr>
      <w:r>
        <w:t>IAPC enters 2026-2029 with clarity of purpose, momentum and realistic ambition. We have learned what works and adapted thoughtfully. We are pragmatic about constraints and intentional about growth.</w:t>
      </w:r>
    </w:p>
    <w:p w14:paraId="50417911" w14:textId="77777777" w:rsidR="005364AA" w:rsidRDefault="008F3197">
      <w:pPr>
        <w:pStyle w:val="BodyText"/>
      </w:pPr>
      <w:r>
        <w:t>This plan is about being more strategic, sustainable and impactful. Over the next three years, we will deepen member value, strengthen our policy voice, build financial resilience and establish IAPC as a trusted leader in advancing equitable, high-quality palliative care in Ireland.</w:t>
      </w:r>
    </w:p>
    <w:p w14:paraId="7ACE5ED5" w14:textId="77777777" w:rsidR="005364AA" w:rsidRDefault="008F3197">
      <w:pPr>
        <w:pStyle w:val="BodyText"/>
      </w:pPr>
      <w:r>
        <w:t>With engaged members, committed governance and strategic focus, we are confident in delivering this vision.</w:t>
      </w:r>
    </w:p>
    <w:p w14:paraId="5A191387" w14:textId="77777777" w:rsidR="005364AA" w:rsidRDefault="007A5922">
      <w:r>
        <w:pict w14:anchorId="53B4BCBC">
          <v:rect id="_x0000_i1038" style="width:0;height:1.5pt" o:hralign="center" o:hrstd="t" o:hr="t"/>
        </w:pict>
      </w:r>
    </w:p>
    <w:p w14:paraId="0F0F0F84" w14:textId="2E05E402" w:rsidR="005364AA" w:rsidRDefault="008F3197">
      <w:pPr>
        <w:pStyle w:val="FirstParagraph"/>
      </w:pPr>
      <w:r>
        <w:rPr>
          <w:b/>
          <w:bCs/>
        </w:rPr>
        <w:t>Approved by the Board of Directors</w:t>
      </w:r>
      <w:r>
        <w:br/>
        <w:t xml:space="preserve">Irish Association for Palliative Care, </w:t>
      </w:r>
      <w:r w:rsidR="006634CD">
        <w:t>8</w:t>
      </w:r>
      <w:r w:rsidR="006634CD" w:rsidRPr="006634CD">
        <w:rPr>
          <w:vertAlign w:val="superscript"/>
        </w:rPr>
        <w:t>th</w:t>
      </w:r>
      <w:r w:rsidR="006634CD">
        <w:t xml:space="preserve"> May 2026</w:t>
      </w:r>
      <w:bookmarkEnd w:id="0"/>
      <w:bookmarkEnd w:id="39"/>
    </w:p>
    <w:sectPr w:rsidR="005364AA">
      <w:footerReference w:type="default" r:id="rId10"/>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F7FD" w14:textId="77777777" w:rsidR="0012358E" w:rsidRDefault="0012358E" w:rsidP="00164E1F">
      <w:pPr>
        <w:spacing w:after="0"/>
      </w:pPr>
      <w:r>
        <w:separator/>
      </w:r>
    </w:p>
  </w:endnote>
  <w:endnote w:type="continuationSeparator" w:id="0">
    <w:p w14:paraId="558D8F07" w14:textId="77777777" w:rsidR="0012358E" w:rsidRDefault="0012358E" w:rsidP="00164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946004"/>
      <w:docPartObj>
        <w:docPartGallery w:val="Page Numbers (Bottom of Page)"/>
        <w:docPartUnique/>
      </w:docPartObj>
    </w:sdtPr>
    <w:sdtEndPr>
      <w:rPr>
        <w:noProof/>
      </w:rPr>
    </w:sdtEndPr>
    <w:sdtContent>
      <w:p w14:paraId="3FBD26E7" w14:textId="2B2786FB" w:rsidR="00164E1F" w:rsidRDefault="00164E1F">
        <w:pPr>
          <w:pStyle w:val="Footer"/>
        </w:pPr>
        <w:r>
          <w:fldChar w:fldCharType="begin"/>
        </w:r>
        <w:r>
          <w:instrText xml:space="preserve"> PAGE   \* MERGEFORMAT </w:instrText>
        </w:r>
        <w:r>
          <w:fldChar w:fldCharType="separate"/>
        </w:r>
        <w:r>
          <w:rPr>
            <w:noProof/>
          </w:rPr>
          <w:t>2</w:t>
        </w:r>
        <w:r>
          <w:rPr>
            <w:noProof/>
          </w:rPr>
          <w:fldChar w:fldCharType="end"/>
        </w:r>
      </w:p>
    </w:sdtContent>
  </w:sdt>
  <w:p w14:paraId="06AA3F2E" w14:textId="77777777" w:rsidR="00164E1F" w:rsidRDefault="0016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ED70" w14:textId="77777777" w:rsidR="0012358E" w:rsidRDefault="0012358E" w:rsidP="00164E1F">
      <w:pPr>
        <w:spacing w:after="0"/>
      </w:pPr>
      <w:r>
        <w:separator/>
      </w:r>
    </w:p>
  </w:footnote>
  <w:footnote w:type="continuationSeparator" w:id="0">
    <w:p w14:paraId="346E54DD" w14:textId="77777777" w:rsidR="0012358E" w:rsidRDefault="0012358E" w:rsidP="00164E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BF6455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37CD1B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16876413">
    <w:abstractNumId w:val="0"/>
  </w:num>
  <w:num w:numId="2" w16cid:durableId="1291126441">
    <w:abstractNumId w:val="1"/>
  </w:num>
  <w:num w:numId="3" w16cid:durableId="105388203">
    <w:abstractNumId w:val="1"/>
  </w:num>
  <w:num w:numId="4" w16cid:durableId="341442744">
    <w:abstractNumId w:val="1"/>
  </w:num>
  <w:num w:numId="5" w16cid:durableId="2025981011">
    <w:abstractNumId w:val="1"/>
  </w:num>
  <w:num w:numId="6" w16cid:durableId="1481994321">
    <w:abstractNumId w:val="1"/>
  </w:num>
  <w:num w:numId="7" w16cid:durableId="673724518">
    <w:abstractNumId w:val="1"/>
  </w:num>
  <w:num w:numId="8" w16cid:durableId="1693797763">
    <w:abstractNumId w:val="1"/>
  </w:num>
  <w:num w:numId="9" w16cid:durableId="1750540241">
    <w:abstractNumId w:val="1"/>
  </w:num>
  <w:num w:numId="10" w16cid:durableId="993797996">
    <w:abstractNumId w:val="1"/>
  </w:num>
  <w:num w:numId="11" w16cid:durableId="201695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AA"/>
    <w:rsid w:val="00005DB5"/>
    <w:rsid w:val="000423D9"/>
    <w:rsid w:val="00092199"/>
    <w:rsid w:val="000A526E"/>
    <w:rsid w:val="0012007C"/>
    <w:rsid w:val="0012358E"/>
    <w:rsid w:val="00164E1F"/>
    <w:rsid w:val="001936C1"/>
    <w:rsid w:val="00197902"/>
    <w:rsid w:val="00235AF8"/>
    <w:rsid w:val="0026085E"/>
    <w:rsid w:val="00280A72"/>
    <w:rsid w:val="002B78BE"/>
    <w:rsid w:val="002D6036"/>
    <w:rsid w:val="003113AA"/>
    <w:rsid w:val="003575C3"/>
    <w:rsid w:val="003A06E5"/>
    <w:rsid w:val="00406C8E"/>
    <w:rsid w:val="0041109B"/>
    <w:rsid w:val="00450EB7"/>
    <w:rsid w:val="00460AD6"/>
    <w:rsid w:val="00470095"/>
    <w:rsid w:val="004A79F4"/>
    <w:rsid w:val="004B1EED"/>
    <w:rsid w:val="004B36DF"/>
    <w:rsid w:val="004D1D3C"/>
    <w:rsid w:val="004F3766"/>
    <w:rsid w:val="005364AA"/>
    <w:rsid w:val="0053799B"/>
    <w:rsid w:val="00574AF9"/>
    <w:rsid w:val="005B4E5F"/>
    <w:rsid w:val="005C2A30"/>
    <w:rsid w:val="006634CD"/>
    <w:rsid w:val="00697F3C"/>
    <w:rsid w:val="006D3D60"/>
    <w:rsid w:val="00732B80"/>
    <w:rsid w:val="00791261"/>
    <w:rsid w:val="007A5922"/>
    <w:rsid w:val="007B3E80"/>
    <w:rsid w:val="00811B29"/>
    <w:rsid w:val="008F3197"/>
    <w:rsid w:val="008F68BF"/>
    <w:rsid w:val="0090430B"/>
    <w:rsid w:val="00933383"/>
    <w:rsid w:val="009335BE"/>
    <w:rsid w:val="00945E70"/>
    <w:rsid w:val="00976F6A"/>
    <w:rsid w:val="00987F06"/>
    <w:rsid w:val="00A05FD7"/>
    <w:rsid w:val="00A32184"/>
    <w:rsid w:val="00A66BF6"/>
    <w:rsid w:val="00B64B44"/>
    <w:rsid w:val="00B85939"/>
    <w:rsid w:val="00BA0390"/>
    <w:rsid w:val="00BC4D69"/>
    <w:rsid w:val="00C17009"/>
    <w:rsid w:val="00C23954"/>
    <w:rsid w:val="00CC7068"/>
    <w:rsid w:val="00CE5264"/>
    <w:rsid w:val="00CE7BD2"/>
    <w:rsid w:val="00D06475"/>
    <w:rsid w:val="00D35674"/>
    <w:rsid w:val="00D83327"/>
    <w:rsid w:val="00DB06C1"/>
    <w:rsid w:val="00E363CA"/>
    <w:rsid w:val="00E4235B"/>
    <w:rsid w:val="00E43A7B"/>
    <w:rsid w:val="00ED075A"/>
    <w:rsid w:val="00EE7093"/>
    <w:rsid w:val="00F03F2E"/>
    <w:rsid w:val="00F85EC7"/>
    <w:rsid w:val="00F9114B"/>
    <w:rsid w:val="00FA09DE"/>
    <w:rsid w:val="00FB680B"/>
    <w:rsid w:val="00FC4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F5A0"/>
  <w15:docId w15:val="{1C856BAF-4851-4090-854A-DFB7CA3E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164E1F"/>
    <w:pPr>
      <w:tabs>
        <w:tab w:val="center" w:pos="4513"/>
        <w:tab w:val="right" w:pos="9026"/>
      </w:tabs>
      <w:spacing w:after="0"/>
    </w:pPr>
  </w:style>
  <w:style w:type="character" w:customStyle="1" w:styleId="HeaderChar">
    <w:name w:val="Header Char"/>
    <w:basedOn w:val="DefaultParagraphFont"/>
    <w:link w:val="Header"/>
    <w:rsid w:val="00164E1F"/>
  </w:style>
  <w:style w:type="paragraph" w:styleId="Footer">
    <w:name w:val="footer"/>
    <w:basedOn w:val="Normal"/>
    <w:link w:val="FooterChar"/>
    <w:uiPriority w:val="99"/>
    <w:rsid w:val="00164E1F"/>
    <w:pPr>
      <w:tabs>
        <w:tab w:val="center" w:pos="4513"/>
        <w:tab w:val="right" w:pos="9026"/>
      </w:tabs>
      <w:spacing w:after="0"/>
    </w:pPr>
  </w:style>
  <w:style w:type="character" w:customStyle="1" w:styleId="FooterChar">
    <w:name w:val="Footer Char"/>
    <w:basedOn w:val="DefaultParagraphFont"/>
    <w:link w:val="Footer"/>
    <w:uiPriority w:val="99"/>
    <w:rsid w:val="00164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840df6-43aa-40a1-b7e8-85e13406cf72" xsi:nil="true"/>
    <lcf76f155ced4ddcb4097134ff3c332f xmlns="755bf75a-a92e-4f28-8d81-c6e79830a1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AF7EA6230E15448435C2B7F4E2C76C" ma:contentTypeVersion="19" ma:contentTypeDescription="Create a new document." ma:contentTypeScope="" ma:versionID="ec206935c33db9cda5544767582d0386">
  <xsd:schema xmlns:xsd="http://www.w3.org/2001/XMLSchema" xmlns:xs="http://www.w3.org/2001/XMLSchema" xmlns:p="http://schemas.microsoft.com/office/2006/metadata/properties" xmlns:ns2="755bf75a-a92e-4f28-8d81-c6e79830a169" xmlns:ns3="21840df6-43aa-40a1-b7e8-85e13406cf72" targetNamespace="http://schemas.microsoft.com/office/2006/metadata/properties" ma:root="true" ma:fieldsID="449ee00eb8b2baa670db038e028c853f" ns2:_="" ns3:_="">
    <xsd:import namespace="755bf75a-a92e-4f28-8d81-c6e79830a169"/>
    <xsd:import namespace="21840df6-43aa-40a1-b7e8-85e13406cf7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bf75a-a92e-4f28-8d81-c6e79830a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cb7535-9b72-43c3-9b64-bf9e1b266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40df6-43aa-40a1-b7e8-85e13406cf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72d03c-8feb-4ffa-8b6c-55d219390508}" ma:internalName="TaxCatchAll" ma:showField="CatchAllData" ma:web="21840df6-43aa-40a1-b7e8-85e13406c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F167D-6629-4643-934C-F5D27A08ABA7}">
  <ds:schemaRefs>
    <ds:schemaRef ds:uri="http://schemas.microsoft.com/sharepoint/v3/contenttype/forms"/>
  </ds:schemaRefs>
</ds:datastoreItem>
</file>

<file path=customXml/itemProps2.xml><?xml version="1.0" encoding="utf-8"?>
<ds:datastoreItem xmlns:ds="http://schemas.openxmlformats.org/officeDocument/2006/customXml" ds:itemID="{5D3A1AA6-8F8D-4FE5-B355-86F36D7F25F3}">
  <ds:schemaRefs>
    <ds:schemaRef ds:uri="http://schemas.microsoft.com/office/2006/metadata/properties"/>
    <ds:schemaRef ds:uri="http://schemas.microsoft.com/office/infopath/2007/PartnerControls"/>
    <ds:schemaRef ds:uri="21840df6-43aa-40a1-b7e8-85e13406cf72"/>
    <ds:schemaRef ds:uri="755bf75a-a92e-4f28-8d81-c6e79830a169"/>
  </ds:schemaRefs>
</ds:datastoreItem>
</file>

<file path=customXml/itemProps3.xml><?xml version="1.0" encoding="utf-8"?>
<ds:datastoreItem xmlns:ds="http://schemas.openxmlformats.org/officeDocument/2006/customXml" ds:itemID="{4F6408A8-06D6-46BA-9B5C-3C740FE8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bf75a-a92e-4f28-8d81-c6e79830a169"/>
    <ds:schemaRef ds:uri="21840df6-43aa-40a1-b7e8-85e13406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McCrave</dc:creator>
  <cp:keywords/>
  <cp:lastModifiedBy>Irish Association for Palliative Care</cp:lastModifiedBy>
  <cp:revision>33</cp:revision>
  <dcterms:created xsi:type="dcterms:W3CDTF">2026-05-09T09:27:00Z</dcterms:created>
  <dcterms:modified xsi:type="dcterms:W3CDTF">2026-05-09T10:07:00Z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0x010100EFAF7EA6230E15448435C2B7F4E2C76C</vt:lpwstr>
  </property>
  <property fmtid="{D5CDD505-2E9C-101B-9397-08002B2CF9AE}" pid="3" name="MediaServiceImageTags">
    <vt:lpwstr/>
  </property>
</Properties>
</file>